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384DB">
      <w:pPr>
        <w:jc w:val="center"/>
        <w:rPr>
          <w:rFonts w:ascii="黑体" w:hAnsi="黑体" w:eastAsia="黑体"/>
          <w:b/>
          <w:sz w:val="56"/>
          <w:szCs w:val="72"/>
        </w:rPr>
      </w:pPr>
    </w:p>
    <w:p w14:paraId="12466956">
      <w:pPr>
        <w:spacing w:line="240" w:lineRule="atLeast"/>
        <w:jc w:val="center"/>
        <w:rPr>
          <w:rFonts w:ascii="黑体" w:hAnsi="黑体" w:eastAsia="黑体"/>
          <w:b/>
          <w:sz w:val="18"/>
          <w:szCs w:val="18"/>
        </w:rPr>
      </w:pPr>
    </w:p>
    <w:p w14:paraId="63CBB54E">
      <w:pPr>
        <w:jc w:val="center"/>
        <w:rPr>
          <w:rFonts w:ascii="黑体" w:hAnsi="黑体" w:eastAsia="黑体" w:cs="黑体"/>
          <w:b/>
          <w:bCs/>
          <w:sz w:val="42"/>
          <w:szCs w:val="44"/>
        </w:rPr>
      </w:pPr>
      <w:r>
        <w:rPr>
          <w:rFonts w:hint="eastAsia" w:ascii="黑体" w:hAnsi="黑体" w:eastAsia="黑体" w:cs="黑体"/>
          <w:b/>
          <w:bCs/>
          <w:sz w:val="42"/>
          <w:szCs w:val="44"/>
        </w:rPr>
        <w:t>课程标准（2</w:t>
      </w:r>
      <w:r>
        <w:rPr>
          <w:rFonts w:ascii="黑体" w:hAnsi="黑体" w:eastAsia="黑体" w:cs="黑体"/>
          <w:b/>
          <w:bCs/>
          <w:sz w:val="42"/>
          <w:szCs w:val="44"/>
        </w:rPr>
        <w:t>023</w:t>
      </w:r>
      <w:bookmarkStart w:id="1" w:name="_GoBack"/>
      <w:bookmarkEnd w:id="1"/>
      <w:r>
        <w:rPr>
          <w:rFonts w:hint="eastAsia" w:ascii="黑体" w:hAnsi="黑体" w:eastAsia="黑体" w:cs="黑体"/>
          <w:b/>
          <w:bCs/>
          <w:sz w:val="42"/>
          <w:szCs w:val="44"/>
        </w:rPr>
        <w:t>年版）</w:t>
      </w:r>
    </w:p>
    <w:p w14:paraId="2CFF65F0">
      <w:pPr>
        <w:spacing w:line="200" w:lineRule="atLeast"/>
        <w:rPr>
          <w:rFonts w:ascii="华文中宋" w:hAnsi="华文中宋" w:eastAsia="华文中宋"/>
          <w:sz w:val="30"/>
          <w:szCs w:val="30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4086"/>
      </w:tblGrid>
      <w:tr w14:paraId="40717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00DDFC7D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课程名称：</w:t>
            </w:r>
          </w:p>
        </w:tc>
        <w:tc>
          <w:tcPr>
            <w:tcW w:w="4086" w:type="dxa"/>
            <w:vAlign w:val="center"/>
          </w:tcPr>
          <w:p w14:paraId="05E751AC">
            <w:pP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>素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>描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</w:p>
        </w:tc>
      </w:tr>
      <w:tr w14:paraId="5DC09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5A24616A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课程代码：</w:t>
            </w:r>
          </w:p>
        </w:tc>
        <w:tc>
          <w:tcPr>
            <w:tcW w:w="4086" w:type="dxa"/>
            <w:vAlign w:val="center"/>
          </w:tcPr>
          <w:p w14:paraId="5BF2D2D0">
            <w:pPr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 xxxxxxx   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</w:p>
        </w:tc>
      </w:tr>
      <w:tr w14:paraId="1FC66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32221833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课程性质：</w:t>
            </w:r>
          </w:p>
        </w:tc>
        <w:tc>
          <w:tcPr>
            <w:tcW w:w="4086" w:type="dxa"/>
            <w:vAlign w:val="center"/>
          </w:tcPr>
          <w:p w14:paraId="2D60F9E6">
            <w:pPr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>专业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>基础课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</w:t>
            </w:r>
          </w:p>
        </w:tc>
      </w:tr>
      <w:tr w14:paraId="3AA3E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4418F721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开课单位</w:t>
            </w:r>
            <w:r>
              <w:rPr>
                <w:rFonts w:hint="eastAsia" w:ascii="黑体" w:hAnsi="黑体" w:eastAsia="黑体" w:cs="黑体"/>
                <w:szCs w:val="21"/>
              </w:rPr>
              <w:t>（盖章）</w:t>
            </w:r>
            <w:r>
              <w:rPr>
                <w:rFonts w:hint="eastAsia" w:ascii="黑体" w:hAnsi="黑体" w:eastAsia="黑体" w:cs="黑体"/>
                <w:sz w:val="30"/>
                <w:szCs w:val="30"/>
              </w:rPr>
              <w:t>：</w:t>
            </w:r>
          </w:p>
        </w:tc>
        <w:tc>
          <w:tcPr>
            <w:tcW w:w="4086" w:type="dxa"/>
            <w:vAlign w:val="center"/>
          </w:tcPr>
          <w:p w14:paraId="44A7A4E2">
            <w:pPr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>艺术设计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>学院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</w:t>
            </w:r>
          </w:p>
        </w:tc>
      </w:tr>
      <w:tr w14:paraId="56479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746454BE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适用专业：</w:t>
            </w:r>
          </w:p>
        </w:tc>
        <w:tc>
          <w:tcPr>
            <w:tcW w:w="4086" w:type="dxa"/>
            <w:vAlign w:val="center"/>
          </w:tcPr>
          <w:p w14:paraId="7E0BCE70">
            <w:pPr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>艺术设计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>大类专业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</w:p>
        </w:tc>
      </w:tr>
      <w:tr w14:paraId="1839A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1BF49CC1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编制人：</w:t>
            </w:r>
          </w:p>
        </w:tc>
        <w:tc>
          <w:tcPr>
            <w:tcW w:w="4086" w:type="dxa"/>
            <w:vAlign w:val="center"/>
          </w:tcPr>
          <w:p w14:paraId="282E9439">
            <w:pPr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 X X X  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</w:p>
        </w:tc>
      </w:tr>
      <w:tr w14:paraId="257CB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56FC8F62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审核人：</w:t>
            </w:r>
          </w:p>
        </w:tc>
        <w:tc>
          <w:tcPr>
            <w:tcW w:w="4086" w:type="dxa"/>
            <w:vAlign w:val="center"/>
          </w:tcPr>
          <w:p w14:paraId="05E91DF5">
            <w:pPr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                </w:t>
            </w:r>
          </w:p>
        </w:tc>
      </w:tr>
      <w:tr w14:paraId="5EBA8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02F88287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审定人：</w:t>
            </w:r>
          </w:p>
        </w:tc>
        <w:tc>
          <w:tcPr>
            <w:tcW w:w="4086" w:type="dxa"/>
            <w:vAlign w:val="center"/>
          </w:tcPr>
          <w:p w14:paraId="6D08CCE6">
            <w:pPr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                </w:t>
            </w:r>
          </w:p>
        </w:tc>
      </w:tr>
      <w:tr w14:paraId="5226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7" w:type="dxa"/>
            <w:vAlign w:val="center"/>
          </w:tcPr>
          <w:p w14:paraId="4327461B">
            <w:pPr>
              <w:jc w:val="distribute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编制时间：</w:t>
            </w:r>
          </w:p>
        </w:tc>
        <w:tc>
          <w:tcPr>
            <w:tcW w:w="4086" w:type="dxa"/>
            <w:vAlign w:val="center"/>
          </w:tcPr>
          <w:p w14:paraId="3A31963D">
            <w:pPr>
              <w:jc w:val="left"/>
              <w:rPr>
                <w:rFonts w:ascii="黑体" w:hAnsi="黑体" w:eastAsia="黑体" w:cs="黑体"/>
                <w:sz w:val="30"/>
                <w:szCs w:val="30"/>
                <w:u w:val="singl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>202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>3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年 11月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>8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黑体" w:hAnsi="黑体" w:eastAsia="黑体" w:cs="黑体"/>
                <w:sz w:val="30"/>
                <w:szCs w:val="30"/>
                <w:u w:val="single"/>
              </w:rPr>
              <w:t xml:space="preserve">日 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</w:t>
            </w:r>
          </w:p>
        </w:tc>
      </w:tr>
    </w:tbl>
    <w:p w14:paraId="13D7DAF3">
      <w:pPr>
        <w:spacing w:line="720" w:lineRule="auto"/>
        <w:jc w:val="left"/>
        <w:rPr>
          <w:rFonts w:ascii="微软雅黑" w:hAnsi="微软雅黑" w:eastAsia="微软雅黑" w:cs="微软雅黑"/>
          <w:b/>
          <w:bCs/>
          <w:sz w:val="30"/>
          <w:szCs w:val="30"/>
        </w:rPr>
      </w:pPr>
    </w:p>
    <w:p w14:paraId="46D744CA">
      <w:pPr>
        <w:spacing w:line="720" w:lineRule="auto"/>
        <w:jc w:val="center"/>
        <w:rPr>
          <w:rFonts w:ascii="仿宋_GB2312" w:hAnsi="黑体" w:eastAsia="仿宋_GB2312"/>
          <w:sz w:val="28"/>
          <w:szCs w:val="28"/>
        </w:rPr>
        <w:sectPr>
          <w:footerReference r:id="rId3" w:type="default"/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XXXXXXXXXXXXXX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教务处  制</w:t>
      </w:r>
    </w:p>
    <w:p w14:paraId="2755231B">
      <w:pPr>
        <w:spacing w:after="312" w:afterLines="100" w:line="4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《素描》课程标准</w:t>
      </w:r>
    </w:p>
    <w:p w14:paraId="1C748000">
      <w:pPr>
        <w:pStyle w:val="3"/>
        <w:snapToGrid w:val="0"/>
        <w:spacing w:before="156" w:beforeLines="50" w:after="156" w:afterLines="50" w:line="400" w:lineRule="exact"/>
        <w:ind w:left="510"/>
        <w:rPr>
          <w:rFonts w:ascii="黑体" w:hAnsi="黑体" w:eastAsia="黑体"/>
          <w:b w:val="0"/>
          <w:sz w:val="28"/>
          <w:szCs w:val="28"/>
          <w:lang w:eastAsia="zh-CN"/>
        </w:rPr>
      </w:pPr>
      <w:bookmarkStart w:id="0" w:name="_Toc98882932"/>
      <w:r>
        <w:rPr>
          <w:rFonts w:hint="eastAsia" w:ascii="黑体" w:hAnsi="黑体" w:eastAsia="黑体"/>
          <w:b w:val="0"/>
          <w:sz w:val="28"/>
          <w:szCs w:val="28"/>
          <w:lang w:eastAsia="zh-CN"/>
        </w:rPr>
        <w:t>一、课程基本信息</w:t>
      </w:r>
      <w:bookmarkEnd w:id="0"/>
    </w:p>
    <w:p w14:paraId="2691BB12">
      <w:pPr>
        <w:snapToGrid w:val="0"/>
        <w:spacing w:after="156" w:afterLines="5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表1  课程信息表</w:t>
      </w:r>
    </w:p>
    <w:tbl>
      <w:tblPr>
        <w:tblStyle w:val="7"/>
        <w:tblW w:w="8364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94"/>
        <w:gridCol w:w="1275"/>
        <w:gridCol w:w="2694"/>
      </w:tblGrid>
      <w:tr w14:paraId="056F86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01" w:type="dxa"/>
            <w:tcBorders>
              <w:top w:val="single" w:color="auto" w:sz="18" w:space="0"/>
            </w:tcBorders>
            <w:shd w:val="clear" w:color="auto" w:fill="auto"/>
            <w:vAlign w:val="center"/>
          </w:tcPr>
          <w:p w14:paraId="24FC566F">
            <w:pPr>
              <w:spacing w:line="32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课程名称</w:t>
            </w:r>
          </w:p>
        </w:tc>
        <w:tc>
          <w:tcPr>
            <w:tcW w:w="2694" w:type="dxa"/>
            <w:tcBorders>
              <w:top w:val="single" w:color="auto" w:sz="18" w:space="0"/>
            </w:tcBorders>
            <w:shd w:val="clear" w:color="auto" w:fill="auto"/>
            <w:vAlign w:val="center"/>
          </w:tcPr>
          <w:p w14:paraId="0C3B3BD6">
            <w:pPr>
              <w:spacing w:line="320" w:lineRule="exact"/>
              <w:jc w:val="left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0"/>
              </w:rPr>
              <w:t>素描</w:t>
            </w:r>
          </w:p>
        </w:tc>
        <w:tc>
          <w:tcPr>
            <w:tcW w:w="1275" w:type="dxa"/>
            <w:tcBorders>
              <w:top w:val="single" w:color="auto" w:sz="18" w:space="0"/>
            </w:tcBorders>
            <w:shd w:val="clear" w:color="auto" w:fill="auto"/>
            <w:vAlign w:val="center"/>
          </w:tcPr>
          <w:p w14:paraId="4B3906A0">
            <w:pPr>
              <w:spacing w:line="32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开课单位</w:t>
            </w:r>
          </w:p>
        </w:tc>
        <w:tc>
          <w:tcPr>
            <w:tcW w:w="2694" w:type="dxa"/>
            <w:tcBorders>
              <w:top w:val="single" w:color="auto" w:sz="18" w:space="0"/>
            </w:tcBorders>
            <w:shd w:val="clear" w:color="auto" w:fill="auto"/>
            <w:vAlign w:val="center"/>
          </w:tcPr>
          <w:p w14:paraId="2FE2E294">
            <w:pPr>
              <w:spacing w:line="320" w:lineRule="exact"/>
              <w:jc w:val="left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艺术设计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学院</w:t>
            </w:r>
          </w:p>
        </w:tc>
      </w:tr>
      <w:tr w14:paraId="41CD40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01" w:type="dxa"/>
            <w:shd w:val="clear" w:color="auto" w:fill="auto"/>
            <w:vAlign w:val="center"/>
          </w:tcPr>
          <w:p w14:paraId="6EA3D237">
            <w:pPr>
              <w:spacing w:line="32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课程代码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A7AA2A7">
            <w:pPr>
              <w:spacing w:line="320" w:lineRule="exact"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C43A22C">
            <w:pPr>
              <w:spacing w:line="32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课程性质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E72B270">
            <w:pPr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基础</w:t>
            </w:r>
            <w:r>
              <w:rPr>
                <w:rFonts w:hint="eastAsia"/>
                <w:kern w:val="0"/>
                <w:szCs w:val="21"/>
              </w:rPr>
              <w:t>课</w:t>
            </w:r>
          </w:p>
        </w:tc>
      </w:tr>
      <w:tr w14:paraId="1091F3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01" w:type="dxa"/>
            <w:shd w:val="clear" w:color="auto" w:fill="auto"/>
            <w:vAlign w:val="center"/>
          </w:tcPr>
          <w:p w14:paraId="218A14EF">
            <w:pPr>
              <w:spacing w:line="32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总学时、学分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F14C9E6"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72</w:t>
            </w:r>
            <w:r>
              <w:rPr>
                <w:rFonts w:hint="eastAsia" w:ascii="宋体" w:hAnsi="宋体"/>
                <w:kern w:val="0"/>
                <w:szCs w:val="21"/>
              </w:rPr>
              <w:t>学时、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>学分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DF5B09">
            <w:pPr>
              <w:spacing w:line="32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课程类别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8AAD345">
            <w:pPr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理论+实践课（B类）</w:t>
            </w:r>
          </w:p>
        </w:tc>
      </w:tr>
      <w:tr w14:paraId="4026DB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</w:trPr>
        <w:tc>
          <w:tcPr>
            <w:tcW w:w="1701" w:type="dxa"/>
            <w:shd w:val="clear" w:color="auto" w:fill="auto"/>
            <w:vAlign w:val="center"/>
          </w:tcPr>
          <w:p w14:paraId="5E0CF542">
            <w:pPr>
              <w:spacing w:line="32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前导课程</w:t>
            </w:r>
          </w:p>
        </w:tc>
        <w:tc>
          <w:tcPr>
            <w:tcW w:w="6663" w:type="dxa"/>
            <w:gridSpan w:val="3"/>
            <w:shd w:val="clear" w:color="auto" w:fill="auto"/>
            <w:vAlign w:val="center"/>
          </w:tcPr>
          <w:p w14:paraId="2A2E838B">
            <w:pPr>
              <w:spacing w:line="320" w:lineRule="exact"/>
              <w:jc w:val="left"/>
              <w:rPr>
                <w:rFonts w:hint="default" w:ascii="宋体" w:hAnsi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无</w:t>
            </w:r>
          </w:p>
        </w:tc>
      </w:tr>
      <w:tr w14:paraId="7AE994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01" w:type="dxa"/>
            <w:shd w:val="clear" w:color="auto" w:fill="auto"/>
            <w:vAlign w:val="center"/>
          </w:tcPr>
          <w:p w14:paraId="784D99F6">
            <w:pPr>
              <w:spacing w:line="32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后续课程</w:t>
            </w:r>
          </w:p>
        </w:tc>
        <w:tc>
          <w:tcPr>
            <w:tcW w:w="6663" w:type="dxa"/>
            <w:gridSpan w:val="3"/>
            <w:shd w:val="clear" w:color="auto" w:fill="auto"/>
            <w:vAlign w:val="center"/>
          </w:tcPr>
          <w:p w14:paraId="335DF225"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0"/>
              </w:rPr>
              <w:t>色彩基础、构成设计</w:t>
            </w:r>
          </w:p>
        </w:tc>
      </w:tr>
      <w:tr w14:paraId="0DA601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1701" w:type="dxa"/>
            <w:shd w:val="clear" w:color="auto" w:fill="auto"/>
            <w:vAlign w:val="center"/>
          </w:tcPr>
          <w:p w14:paraId="0054C86F">
            <w:pPr>
              <w:spacing w:line="32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适用专业</w:t>
            </w:r>
          </w:p>
        </w:tc>
        <w:tc>
          <w:tcPr>
            <w:tcW w:w="6663" w:type="dxa"/>
            <w:gridSpan w:val="3"/>
            <w:shd w:val="clear" w:color="auto" w:fill="auto"/>
            <w:vAlign w:val="center"/>
          </w:tcPr>
          <w:p w14:paraId="689C14A0">
            <w:pPr>
              <w:spacing w:line="320" w:lineRule="exact"/>
              <w:jc w:val="left"/>
              <w:rPr>
                <w:rFonts w:hint="default" w:ascii="宋体" w:hAnsi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艺术设计、产品艺术设计、</w:t>
            </w:r>
            <w:r>
              <w:rPr>
                <w:rFonts w:hint="eastAsia" w:ascii="宋体" w:hAnsi="宋体"/>
                <w:kern w:val="0"/>
                <w:szCs w:val="21"/>
              </w:rPr>
              <w:t>服装与服饰设计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环境艺术设计、室内艺术设计、动漫设计、动漫制作技术、建筑装饰技术、美术教育等</w:t>
            </w:r>
          </w:p>
        </w:tc>
      </w:tr>
      <w:tr w14:paraId="00016A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701" w:type="dxa"/>
            <w:tcBorders>
              <w:bottom w:val="single" w:color="auto" w:sz="18" w:space="0"/>
            </w:tcBorders>
            <w:shd w:val="clear" w:color="auto" w:fill="auto"/>
            <w:vAlign w:val="center"/>
          </w:tcPr>
          <w:p w14:paraId="3E9D6545">
            <w:pPr>
              <w:spacing w:line="32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制(修)订日期</w:t>
            </w:r>
          </w:p>
        </w:tc>
        <w:tc>
          <w:tcPr>
            <w:tcW w:w="6663" w:type="dxa"/>
            <w:gridSpan w:val="3"/>
            <w:tcBorders>
              <w:bottom w:val="single" w:color="auto" w:sz="18" w:space="0"/>
            </w:tcBorders>
            <w:shd w:val="clear" w:color="auto" w:fill="auto"/>
            <w:vAlign w:val="center"/>
          </w:tcPr>
          <w:p w14:paraId="1163FEF8"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023</w:t>
            </w:r>
            <w:r>
              <w:rPr>
                <w:rFonts w:hint="eastAsia" w:ascii="宋体" w:hAnsi="宋体"/>
                <w:kern w:val="0"/>
                <w:szCs w:val="21"/>
              </w:rPr>
              <w:t>年11月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kern w:val="0"/>
                <w:szCs w:val="21"/>
              </w:rPr>
              <w:t>日制定</w:t>
            </w:r>
          </w:p>
        </w:tc>
      </w:tr>
    </w:tbl>
    <w:p w14:paraId="6F9E6BF3">
      <w:pPr>
        <w:snapToGrid w:val="0"/>
        <w:spacing w:before="156" w:beforeLines="50" w:after="156" w:afterLines="50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表2  课程标准编制团队名单</w:t>
      </w:r>
    </w:p>
    <w:tbl>
      <w:tblPr>
        <w:tblStyle w:val="7"/>
        <w:tblW w:w="8364" w:type="dxa"/>
        <w:tblInd w:w="108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3969"/>
        <w:gridCol w:w="2694"/>
      </w:tblGrid>
      <w:tr w14:paraId="48CAFFF1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09" w:type="dxa"/>
            <w:vAlign w:val="center"/>
          </w:tcPr>
          <w:p w14:paraId="090C4AF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7A5A945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3969" w:type="dxa"/>
            <w:vAlign w:val="center"/>
          </w:tcPr>
          <w:p w14:paraId="51B2773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工作单位</w:t>
            </w:r>
          </w:p>
        </w:tc>
        <w:tc>
          <w:tcPr>
            <w:tcW w:w="2694" w:type="dxa"/>
            <w:vAlign w:val="center"/>
          </w:tcPr>
          <w:p w14:paraId="052473F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职务/职称</w:t>
            </w:r>
          </w:p>
        </w:tc>
      </w:tr>
      <w:tr w14:paraId="42B0DA38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09" w:type="dxa"/>
            <w:vAlign w:val="center"/>
          </w:tcPr>
          <w:p w14:paraId="7BEFEBA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C25C03F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3969" w:type="dxa"/>
            <w:vAlign w:val="center"/>
          </w:tcPr>
          <w:p w14:paraId="00F77E28"/>
        </w:tc>
        <w:tc>
          <w:tcPr>
            <w:tcW w:w="2694" w:type="dxa"/>
            <w:vAlign w:val="center"/>
          </w:tcPr>
          <w:p w14:paraId="5E1BC12F"/>
        </w:tc>
      </w:tr>
      <w:tr w14:paraId="19CA6F26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09" w:type="dxa"/>
            <w:vAlign w:val="center"/>
          </w:tcPr>
          <w:p w14:paraId="4B7E132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241ED569"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969" w:type="dxa"/>
            <w:vAlign w:val="center"/>
          </w:tcPr>
          <w:p w14:paraId="5B09CAE4"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694" w:type="dxa"/>
            <w:vAlign w:val="center"/>
          </w:tcPr>
          <w:p w14:paraId="46E4108C"/>
        </w:tc>
      </w:tr>
      <w:tr w14:paraId="0AE54E81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709" w:type="dxa"/>
            <w:vAlign w:val="center"/>
          </w:tcPr>
          <w:p w14:paraId="1AA1C81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3E788EC6"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969" w:type="dxa"/>
            <w:vAlign w:val="center"/>
          </w:tcPr>
          <w:p w14:paraId="411E1629"/>
        </w:tc>
        <w:tc>
          <w:tcPr>
            <w:tcW w:w="2694" w:type="dxa"/>
            <w:vAlign w:val="center"/>
          </w:tcPr>
          <w:p w14:paraId="398C7FE4"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 w14:paraId="2F2E1578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09" w:type="dxa"/>
            <w:vAlign w:val="center"/>
          </w:tcPr>
          <w:p w14:paraId="161DFDB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14:paraId="42E91EFE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969" w:type="dxa"/>
            <w:vAlign w:val="center"/>
          </w:tcPr>
          <w:p w14:paraId="4F3C123D"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694" w:type="dxa"/>
            <w:vAlign w:val="center"/>
          </w:tcPr>
          <w:p w14:paraId="27DC888E"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 w14:paraId="43282181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09" w:type="dxa"/>
            <w:vAlign w:val="center"/>
          </w:tcPr>
          <w:p w14:paraId="021F98B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3BD29637"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969" w:type="dxa"/>
            <w:vAlign w:val="center"/>
          </w:tcPr>
          <w:p w14:paraId="64AE779D"/>
        </w:tc>
        <w:tc>
          <w:tcPr>
            <w:tcW w:w="2694" w:type="dxa"/>
            <w:vAlign w:val="center"/>
          </w:tcPr>
          <w:p w14:paraId="1E114137"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 w14:paraId="009AF09C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09" w:type="dxa"/>
            <w:vAlign w:val="center"/>
          </w:tcPr>
          <w:p w14:paraId="3764E50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14:paraId="7D1FB395"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969" w:type="dxa"/>
            <w:vAlign w:val="center"/>
          </w:tcPr>
          <w:p w14:paraId="53A417DB"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694" w:type="dxa"/>
            <w:vAlign w:val="center"/>
          </w:tcPr>
          <w:p w14:paraId="178095DD"/>
        </w:tc>
      </w:tr>
      <w:tr w14:paraId="67010499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09" w:type="dxa"/>
            <w:vAlign w:val="center"/>
          </w:tcPr>
          <w:p w14:paraId="0CD4895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69D508C3"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969" w:type="dxa"/>
            <w:vAlign w:val="center"/>
          </w:tcPr>
          <w:p w14:paraId="1F8E587F"/>
        </w:tc>
        <w:tc>
          <w:tcPr>
            <w:tcW w:w="2694" w:type="dxa"/>
            <w:vAlign w:val="center"/>
          </w:tcPr>
          <w:p w14:paraId="719F70C8"/>
        </w:tc>
      </w:tr>
      <w:tr w14:paraId="4A68F8C4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709" w:type="dxa"/>
            <w:vAlign w:val="center"/>
          </w:tcPr>
          <w:p w14:paraId="7599A961">
            <w:pPr>
              <w:jc w:val="center"/>
              <w:rPr>
                <w:rFonts w:hint="eastAsia" w:ascii="宋体" w:hAnsi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 w14:paraId="12B9CCB2"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969" w:type="dxa"/>
            <w:vAlign w:val="center"/>
          </w:tcPr>
          <w:p w14:paraId="76C0803A">
            <w:pPr>
              <w:rPr>
                <w:rFonts w:hint="eastAsia"/>
              </w:rPr>
            </w:pPr>
          </w:p>
        </w:tc>
        <w:tc>
          <w:tcPr>
            <w:tcW w:w="2694" w:type="dxa"/>
            <w:vAlign w:val="center"/>
          </w:tcPr>
          <w:p w14:paraId="0F2E4A3B">
            <w:pPr>
              <w:rPr>
                <w:rFonts w:hint="eastAsia"/>
              </w:rPr>
            </w:pPr>
          </w:p>
        </w:tc>
      </w:tr>
    </w:tbl>
    <w:p w14:paraId="3B37A39C">
      <w:pPr>
        <w:autoSpaceDE w:val="0"/>
        <w:autoSpaceDN w:val="0"/>
        <w:adjustRightInd w:val="0"/>
        <w:snapToGrid w:val="0"/>
        <w:jc w:val="left"/>
        <w:rPr>
          <w:rFonts w:ascii="宋体" w:hAnsi="Calibri" w:cs="宋体"/>
          <w:kern w:val="0"/>
          <w:szCs w:val="21"/>
        </w:rPr>
      </w:pPr>
      <w:r>
        <w:rPr>
          <w:rFonts w:hint="eastAsia" w:ascii="宋体" w:hAnsi="Calibri" w:cs="宋体"/>
          <w:kern w:val="0"/>
          <w:szCs w:val="21"/>
        </w:rPr>
        <w:t>备注：</w:t>
      </w:r>
    </w:p>
    <w:p w14:paraId="2DBE01CB">
      <w:pPr>
        <w:autoSpaceDE w:val="0"/>
        <w:autoSpaceDN w:val="0"/>
        <w:adjustRightInd w:val="0"/>
        <w:snapToGrid w:val="0"/>
        <w:jc w:val="left"/>
        <w:rPr>
          <w:rFonts w:ascii="宋体" w:hAnsi="Calibri" w:cs="宋体"/>
          <w:kern w:val="0"/>
          <w:szCs w:val="21"/>
        </w:rPr>
      </w:pPr>
      <w:r>
        <w:rPr>
          <w:rFonts w:ascii="宋体" w:hAnsi="Calibri" w:cs="宋体"/>
          <w:kern w:val="0"/>
          <w:szCs w:val="21"/>
        </w:rPr>
        <w:t>1.</w:t>
      </w:r>
      <w:r>
        <w:rPr>
          <w:rFonts w:hint="eastAsia" w:ascii="宋体" w:hAnsi="Calibri" w:cs="宋体"/>
          <w:kern w:val="0"/>
          <w:szCs w:val="21"/>
        </w:rPr>
        <w:t>课程性质：专业基础课程；</w:t>
      </w:r>
    </w:p>
    <w:p w14:paraId="774525B5">
      <w:pPr>
        <w:autoSpaceDE w:val="0"/>
        <w:autoSpaceDN w:val="0"/>
        <w:adjustRightInd w:val="0"/>
        <w:snapToGrid w:val="0"/>
        <w:jc w:val="left"/>
        <w:rPr>
          <w:rFonts w:ascii="宋体" w:hAnsi="Calibri" w:cs="宋体"/>
          <w:kern w:val="0"/>
          <w:szCs w:val="21"/>
        </w:rPr>
      </w:pPr>
      <w:r>
        <w:rPr>
          <w:rFonts w:ascii="宋体" w:hAnsi="Calibri" w:cs="宋体"/>
          <w:kern w:val="0"/>
          <w:szCs w:val="21"/>
        </w:rPr>
        <w:t>2.</w:t>
      </w:r>
      <w:r>
        <w:rPr>
          <w:rFonts w:hint="eastAsia" w:ascii="宋体" w:hAnsi="Calibri" w:cs="宋体"/>
          <w:kern w:val="0"/>
          <w:szCs w:val="21"/>
        </w:rPr>
        <w:t>课程类别：理论+实践课（B类）；</w:t>
      </w:r>
    </w:p>
    <w:p w14:paraId="0F48CE6F">
      <w:pPr>
        <w:snapToGrid w:val="0"/>
        <w:jc w:val="left"/>
        <w:rPr>
          <w:b/>
          <w:sz w:val="44"/>
          <w:szCs w:val="44"/>
        </w:rPr>
      </w:pPr>
      <w:r>
        <w:rPr>
          <w:rFonts w:ascii="宋体" w:hAnsi="Calibri" w:cs="宋体"/>
          <w:kern w:val="0"/>
          <w:szCs w:val="21"/>
        </w:rPr>
        <w:t>3.</w:t>
      </w:r>
      <w:r>
        <w:rPr>
          <w:rFonts w:hint="eastAsia" w:ascii="宋体" w:hAnsi="Calibri" w:cs="宋体"/>
          <w:kern w:val="0"/>
          <w:szCs w:val="21"/>
        </w:rPr>
        <w:t>制（修）订日期：XX年X月X日制定，后期修订时补充填写XX年X月X日第X次修订；</w:t>
      </w:r>
    </w:p>
    <w:p w14:paraId="1B06728A">
      <w:pPr>
        <w:autoSpaceDE w:val="0"/>
        <w:autoSpaceDN w:val="0"/>
        <w:adjustRightInd w:val="0"/>
        <w:snapToGrid w:val="0"/>
        <w:jc w:val="left"/>
        <w:rPr>
          <w:rFonts w:ascii="宋体" w:hAnsi="Calibri" w:cs="宋体"/>
          <w:kern w:val="0"/>
          <w:szCs w:val="21"/>
        </w:rPr>
      </w:pPr>
      <w:r>
        <w:rPr>
          <w:rFonts w:ascii="宋体" w:hAnsi="Calibri" w:cs="宋体"/>
          <w:kern w:val="0"/>
          <w:szCs w:val="21"/>
        </w:rPr>
        <w:t>4.</w:t>
      </w:r>
      <w:r>
        <w:rPr>
          <w:rFonts w:hint="eastAsia" w:ascii="宋体" w:hAnsi="Calibri" w:cs="宋体"/>
          <w:kern w:val="0"/>
          <w:szCs w:val="21"/>
        </w:rPr>
        <w:t>排名第一的为课程负责人，校企共同开发的课程标准，企业人员也需填写在课程团队中。</w:t>
      </w:r>
    </w:p>
    <w:p w14:paraId="4DA24413">
      <w:pPr>
        <w:snapToGrid w:val="0"/>
        <w:spacing w:before="156" w:beforeLines="50" w:after="156" w:afterLines="50" w:line="400" w:lineRule="exact"/>
        <w:ind w:firstLine="560" w:firstLineChars="20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二、课程性质与定位</w:t>
      </w:r>
    </w:p>
    <w:p w14:paraId="2E8BA251">
      <w:pPr>
        <w:spacing w:line="360" w:lineRule="auto"/>
        <w:ind w:firstLine="480"/>
        <w:rPr>
          <w:sz w:val="24"/>
        </w:rPr>
      </w:pPr>
      <w:r>
        <w:rPr>
          <w:rFonts w:hint="eastAsia" w:hAnsi="宋体"/>
          <w:sz w:val="24"/>
        </w:rPr>
        <w:t>本课程</w:t>
      </w:r>
      <w:r>
        <w:rPr>
          <w:rFonts w:hAnsi="宋体"/>
          <w:sz w:val="24"/>
        </w:rPr>
        <w:t>是设计</w:t>
      </w:r>
      <w:r>
        <w:rPr>
          <w:rFonts w:hint="eastAsia" w:hAnsi="宋体"/>
          <w:sz w:val="24"/>
          <w:lang w:val="en-US" w:eastAsia="zh-CN"/>
        </w:rPr>
        <w:t>大类</w:t>
      </w:r>
      <w:r>
        <w:rPr>
          <w:rFonts w:hAnsi="宋体"/>
          <w:sz w:val="24"/>
        </w:rPr>
        <w:t>专业的理论与技能兼备的专业</w:t>
      </w:r>
      <w:r>
        <w:rPr>
          <w:rFonts w:hint="eastAsia" w:hAnsi="宋体"/>
          <w:sz w:val="24"/>
          <w:lang w:val="en-US" w:eastAsia="zh-CN"/>
        </w:rPr>
        <w:t>基础</w:t>
      </w:r>
      <w:r>
        <w:rPr>
          <w:rFonts w:hAnsi="宋体"/>
          <w:sz w:val="24"/>
        </w:rPr>
        <w:t>课程，</w:t>
      </w:r>
      <w:r>
        <w:rPr>
          <w:rFonts w:hint="eastAsia"/>
          <w:sz w:val="24"/>
        </w:rPr>
        <w:t>是</w:t>
      </w:r>
      <w:r>
        <w:rPr>
          <w:rFonts w:hint="eastAsia"/>
          <w:sz w:val="24"/>
          <w:lang w:val="en-US" w:eastAsia="zh-CN"/>
        </w:rPr>
        <w:t>设计大类</w:t>
      </w:r>
      <w:r>
        <w:rPr>
          <w:rFonts w:hint="eastAsia"/>
          <w:sz w:val="24"/>
        </w:rPr>
        <w:t>专业的一门专业基础必修课程</w:t>
      </w:r>
      <w:r>
        <w:rPr>
          <w:rFonts w:hint="eastAsia" w:asciiTheme="minorEastAsia" w:hAnsiTheme="minorEastAsia"/>
          <w:sz w:val="24"/>
        </w:rPr>
        <w:t>。</w:t>
      </w:r>
      <w:r>
        <w:rPr>
          <w:rFonts w:hint="eastAsia" w:asciiTheme="minorEastAsia" w:hAnsiTheme="minorEastAsia"/>
          <w:sz w:val="24"/>
          <w:lang w:val="en-US" w:eastAsia="zh-CN"/>
        </w:rPr>
        <w:t>职业类</w:t>
      </w:r>
      <w:r>
        <w:rPr>
          <w:rFonts w:hint="eastAsia"/>
          <w:sz w:val="24"/>
        </w:rPr>
        <w:t>学生专业</w:t>
      </w:r>
      <w:r>
        <w:rPr>
          <w:rFonts w:hint="eastAsia"/>
          <w:sz w:val="24"/>
          <w:lang w:val="en-US" w:eastAsia="zh-CN"/>
        </w:rPr>
        <w:t>造型</w:t>
      </w:r>
      <w:r>
        <w:rPr>
          <w:rFonts w:hint="eastAsia"/>
          <w:sz w:val="24"/>
        </w:rPr>
        <w:t>基础</w:t>
      </w:r>
      <w:r>
        <w:rPr>
          <w:rFonts w:hint="eastAsia"/>
          <w:sz w:val="24"/>
          <w:lang w:val="en-US" w:eastAsia="zh-CN"/>
        </w:rPr>
        <w:t>有待加强</w:t>
      </w:r>
      <w:r>
        <w:rPr>
          <w:rFonts w:hint="eastAsia"/>
          <w:sz w:val="24"/>
        </w:rPr>
        <w:t>，本课程就是针对</w:t>
      </w:r>
      <w:r>
        <w:rPr>
          <w:rFonts w:hint="eastAsia"/>
          <w:sz w:val="24"/>
          <w:lang w:val="en-US" w:eastAsia="zh-CN"/>
        </w:rPr>
        <w:t>职业类</w:t>
      </w:r>
      <w:r>
        <w:rPr>
          <w:rFonts w:hint="eastAsia"/>
          <w:sz w:val="24"/>
        </w:rPr>
        <w:t>学生开设的一门理论、实践一体化的课程，其功能是对接专业人才培养目标，面向插画师、图案设计师、美术教师、服装设计师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室内设计师、动画设计师、景观设计师</w:t>
      </w:r>
      <w:r>
        <w:rPr>
          <w:rFonts w:hint="eastAsia"/>
          <w:sz w:val="24"/>
        </w:rPr>
        <w:t>等岗位，从实践中进一步提高学生的</w:t>
      </w:r>
      <w:r>
        <w:rPr>
          <w:rFonts w:hint="eastAsia"/>
          <w:sz w:val="24"/>
          <w:lang w:val="en-US" w:eastAsia="zh-CN"/>
        </w:rPr>
        <w:t>造型能力</w:t>
      </w:r>
      <w:r>
        <w:rPr>
          <w:rFonts w:hint="eastAsia"/>
          <w:sz w:val="24"/>
        </w:rPr>
        <w:t>，培养学生的审美能力，为后续的《色彩基础》、《构成设计》、《时装画技法》</w:t>
      </w:r>
      <w:r>
        <w:rPr>
          <w:rFonts w:hint="eastAsia"/>
          <w:sz w:val="24"/>
          <w:lang w:eastAsia="zh-CN"/>
        </w:rPr>
        <w:t>《</w:t>
      </w:r>
      <w:r>
        <w:rPr>
          <w:rFonts w:hint="eastAsia"/>
          <w:sz w:val="24"/>
          <w:lang w:val="en-US" w:eastAsia="zh-CN"/>
        </w:rPr>
        <w:t>角色设计</w:t>
      </w:r>
      <w:r>
        <w:rPr>
          <w:rFonts w:hint="eastAsia"/>
          <w:sz w:val="24"/>
          <w:lang w:eastAsia="zh-CN"/>
        </w:rPr>
        <w:t>》《</w:t>
      </w:r>
      <w:r>
        <w:rPr>
          <w:rFonts w:hint="eastAsia"/>
          <w:sz w:val="24"/>
          <w:lang w:val="en-US" w:eastAsia="zh-CN"/>
        </w:rPr>
        <w:t>手绘效果图技法</w:t>
      </w:r>
      <w:r>
        <w:rPr>
          <w:rFonts w:hint="eastAsia"/>
          <w:sz w:val="24"/>
          <w:lang w:eastAsia="zh-CN"/>
        </w:rPr>
        <w:t>》</w:t>
      </w:r>
      <w:r>
        <w:rPr>
          <w:rFonts w:hint="eastAsia"/>
          <w:sz w:val="24"/>
          <w:lang w:val="en-US" w:eastAsia="zh-CN"/>
        </w:rPr>
        <w:t>等</w:t>
      </w:r>
      <w:r>
        <w:rPr>
          <w:rFonts w:hint="eastAsia"/>
          <w:sz w:val="24"/>
        </w:rPr>
        <w:t>课程学习奠定了基础。</w:t>
      </w:r>
    </w:p>
    <w:p w14:paraId="1B91D483">
      <w:pPr>
        <w:rPr>
          <w:sz w:val="24"/>
        </w:rPr>
      </w:pPr>
    </w:p>
    <w:p w14:paraId="39B5783A">
      <w:pPr>
        <w:adjustRightInd w:val="0"/>
        <w:spacing w:line="440" w:lineRule="exact"/>
        <w:ind w:firstLine="470" w:firstLineChars="196"/>
        <w:jc w:val="left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在课程</w:t>
      </w:r>
      <w:r>
        <w:rPr>
          <w:rFonts w:hint="eastAsia" w:ascii="宋体" w:hAnsi="宋体"/>
          <w:sz w:val="24"/>
        </w:rPr>
        <w:t>设置上，后续课程</w:t>
      </w:r>
      <w:r>
        <w:rPr>
          <w:rFonts w:hint="eastAsia" w:ascii="宋体" w:hAnsi="宋体"/>
          <w:sz w:val="24"/>
          <w:lang w:val="en-US" w:eastAsia="zh-CN"/>
        </w:rPr>
        <w:t>分别</w:t>
      </w:r>
      <w:r>
        <w:rPr>
          <w:rFonts w:hint="eastAsia" w:ascii="宋体" w:hAnsi="宋体"/>
          <w:sz w:val="24"/>
        </w:rPr>
        <w:t>有《色彩基础》、《构成设计》、《时装画技法》《角色设计》《手绘效果图技法》</w:t>
      </w:r>
      <w:r>
        <w:rPr>
          <w:rFonts w:hint="eastAsia" w:ascii="宋体" w:hAnsi="宋体"/>
          <w:sz w:val="24"/>
          <w:lang w:val="en-US" w:eastAsia="zh-CN"/>
        </w:rPr>
        <w:t>等课程。</w:t>
      </w:r>
    </w:p>
    <w:p w14:paraId="16966ED7">
      <w:pPr>
        <w:snapToGrid w:val="0"/>
        <w:spacing w:before="156" w:beforeLines="50" w:after="156" w:afterLines="50" w:line="400" w:lineRule="exact"/>
        <w:ind w:firstLine="560" w:firstLineChars="200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</w:rPr>
        <w:t>三、课程设计理念及思路</w:t>
      </w:r>
    </w:p>
    <w:p w14:paraId="4EA89D58">
      <w:pPr>
        <w:spacing w:line="3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</w:rPr>
        <w:t>素描课程是一门艺术与技术相结合的课程,其学科特点在于培养学生具有良好的美术</w:t>
      </w:r>
      <w:r>
        <w:rPr>
          <w:rFonts w:hint="eastAsia" w:ascii="宋体" w:hAnsi="宋体" w:cs="宋体"/>
          <w:sz w:val="24"/>
          <w:lang w:val="en-US" w:eastAsia="zh-CN"/>
        </w:rPr>
        <w:t>造型能力</w:t>
      </w:r>
      <w:r>
        <w:rPr>
          <w:rFonts w:hint="eastAsia" w:ascii="宋体" w:hAnsi="宋体" w:cs="宋体"/>
          <w:sz w:val="24"/>
        </w:rPr>
        <w:t>和创意能力。因此。课程应当注重学生的美术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基础训练,通过大量的实践训练,提高学生的</w:t>
      </w:r>
      <w:r>
        <w:rPr>
          <w:rFonts w:hint="eastAsia" w:ascii="宋体" w:hAnsi="宋体" w:cs="宋体"/>
          <w:sz w:val="24"/>
          <w:lang w:val="en-US" w:eastAsia="zh-CN"/>
        </w:rPr>
        <w:t>造型能力、视觉</w:t>
      </w:r>
      <w:r>
        <w:rPr>
          <w:rFonts w:hint="eastAsia" w:ascii="宋体" w:hAnsi="宋体" w:cs="宋体"/>
          <w:sz w:val="24"/>
        </w:rPr>
        <w:t>敏</w:t>
      </w:r>
      <w:r>
        <w:rPr>
          <w:rFonts w:hint="eastAsia" w:ascii="宋体" w:hAnsi="宋体" w:cs="宋体"/>
          <w:sz w:val="24"/>
          <w:lang w:val="en-US" w:eastAsia="zh-CN"/>
        </w:rPr>
        <w:t>锐</w:t>
      </w:r>
      <w:r>
        <w:rPr>
          <w:rFonts w:hint="eastAsia" w:ascii="宋体" w:hAnsi="宋体" w:cs="宋体"/>
          <w:sz w:val="24"/>
        </w:rPr>
        <w:t>度和创意能力。课程突出职教特色,注重实践操作和职业能力的培养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围绕职业岗位的需求进行设计,以培养学生的职业能力和适应职业发展的素质。让学生在实践中学习和掌握知识。此外,</w:t>
      </w:r>
      <w:r>
        <w:rPr>
          <w:rFonts w:hint="eastAsia" w:ascii="宋体" w:hAnsi="宋体" w:cs="宋体"/>
          <w:sz w:val="24"/>
          <w:lang w:eastAsia="zh-CN"/>
        </w:rPr>
        <w:t>还要</w:t>
      </w:r>
      <w:r>
        <w:rPr>
          <w:rFonts w:hint="eastAsia" w:ascii="宋体" w:hAnsi="宋体" w:cs="宋体"/>
          <w:sz w:val="24"/>
        </w:rPr>
        <w:t>关注行业动态和新技术、新思想的发展,及时更新课程内容和实践项目。</w:t>
      </w:r>
    </w:p>
    <w:p w14:paraId="3B11BD37">
      <w:pPr>
        <w:spacing w:line="3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课程思政设计可以通过以下方式体现:</w:t>
      </w:r>
    </w:p>
    <w:p w14:paraId="484104D4">
      <w:pPr>
        <w:spacing w:line="3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1.社会责任感培养:通过讲解</w:t>
      </w:r>
      <w:r>
        <w:rPr>
          <w:rFonts w:hint="eastAsia" w:ascii="宋体" w:hAnsi="宋体" w:cs="宋体"/>
          <w:sz w:val="24"/>
          <w:lang w:val="en-US" w:eastAsia="zh-CN"/>
        </w:rPr>
        <w:t>素描造型在</w:t>
      </w:r>
      <w:r>
        <w:rPr>
          <w:rFonts w:hint="eastAsia" w:ascii="宋体" w:hAnsi="宋体" w:cs="宋体"/>
          <w:sz w:val="24"/>
        </w:rPr>
        <w:t>设计</w:t>
      </w:r>
      <w:r>
        <w:rPr>
          <w:rFonts w:hint="eastAsia" w:ascii="宋体" w:hAnsi="宋体" w:cs="宋体"/>
          <w:sz w:val="24"/>
          <w:lang w:val="en-US" w:eastAsia="zh-CN"/>
        </w:rPr>
        <w:t>专业</w:t>
      </w:r>
      <w:r>
        <w:rPr>
          <w:rFonts w:hint="eastAsia" w:ascii="宋体" w:hAnsi="宋体" w:cs="宋体"/>
          <w:sz w:val="24"/>
        </w:rPr>
        <w:t>中的</w:t>
      </w:r>
      <w:r>
        <w:rPr>
          <w:rFonts w:hint="eastAsia" w:ascii="宋体" w:hAnsi="宋体" w:cs="宋体"/>
          <w:sz w:val="24"/>
          <w:lang w:val="en-US" w:eastAsia="zh-CN"/>
        </w:rPr>
        <w:t>重要性强调将来作为设计师的</w:t>
      </w:r>
      <w:r>
        <w:rPr>
          <w:rFonts w:hint="eastAsia" w:ascii="宋体" w:hAnsi="宋体" w:cs="宋体"/>
          <w:sz w:val="24"/>
        </w:rPr>
        <w:t>社会责任,如避免</w:t>
      </w:r>
      <w:r>
        <w:rPr>
          <w:rFonts w:hint="eastAsia" w:ascii="宋体" w:hAnsi="宋体" w:cs="宋体"/>
          <w:sz w:val="24"/>
          <w:lang w:val="en-US" w:eastAsia="zh-CN"/>
        </w:rPr>
        <w:t>因造型能力而影响设计结构错误</w:t>
      </w:r>
      <w:r>
        <w:rPr>
          <w:rFonts w:hint="eastAsia" w:ascii="宋体" w:hAnsi="宋体" w:cs="宋体"/>
          <w:sz w:val="24"/>
        </w:rPr>
        <w:t>等，培养学生的社会责任感和道德意识。</w:t>
      </w:r>
    </w:p>
    <w:p w14:paraId="06003B78">
      <w:pPr>
        <w:spacing w:line="3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2.创意创新培养:通过案例分析和实践操作，引导学生自主创新,在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设计中发挥想象力和创造力。</w:t>
      </w:r>
    </w:p>
    <w:p w14:paraId="66246602">
      <w:pPr>
        <w:spacing w:line="3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3.团队合作培养:通过小组合作等方式，培养学生的团队合作能力和沟通能力,同时引导学生互相学习、互相帮助。</w:t>
      </w:r>
    </w:p>
    <w:p w14:paraId="05CB7935">
      <w:pPr>
        <w:spacing w:line="3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4.自信心培养:通过鼓励和肯定学生的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创意,培养学生的自信心和积极向上的心态。</w:t>
      </w:r>
    </w:p>
    <w:p w14:paraId="2B570E6D">
      <w:pPr>
        <w:spacing w:line="38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5.职业道德培养:通过讲解职业道德规范和行业标准,引导学生树立正确的职业道德观念，做到诚信、公正、负责。</w:t>
      </w:r>
    </w:p>
    <w:p w14:paraId="5EA720D3">
      <w:pPr>
        <w:snapToGrid w:val="0"/>
        <w:spacing w:before="156" w:beforeLines="50" w:after="156" w:afterLines="50" w:line="400" w:lineRule="exact"/>
        <w:ind w:firstLine="560" w:firstLineChars="200"/>
        <w:rPr>
          <w:rFonts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四、课程目标</w:t>
      </w:r>
    </w:p>
    <w:p w14:paraId="40A653D2">
      <w:pPr>
        <w:snapToGrid w:val="0"/>
        <w:spacing w:before="156" w:beforeLines="50" w:after="156" w:afterLines="50"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（一）总体目标</w:t>
      </w:r>
    </w:p>
    <w:p w14:paraId="155C3723">
      <w:pPr>
        <w:spacing w:line="38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本课程通过分阶段，循序渐进地让学生熟悉并掌握素描的形式美法则、物体的明暗规律、三大面、五大调、构图和透视。通过素描基本知识、表现技法、石膏几何体临摹与写生、组合石膏几何体临摹与写生</w:t>
      </w:r>
      <w:r>
        <w:rPr>
          <w:rFonts w:hint="eastAsia" w:ascii="宋体" w:hAnsi="宋体" w:cs="宋体"/>
          <w:sz w:val="24"/>
          <w:lang w:val="en-US" w:eastAsia="zh-CN"/>
        </w:rPr>
        <w:t>等</w:t>
      </w:r>
      <w:r>
        <w:rPr>
          <w:rFonts w:hint="eastAsia" w:ascii="宋体" w:hAnsi="宋体" w:cs="宋体"/>
          <w:sz w:val="24"/>
        </w:rPr>
        <w:t>若干模块的训练，培养学生的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能力和提高学生的审美能力。</w:t>
      </w:r>
    </w:p>
    <w:p w14:paraId="2D4FD483">
      <w:pPr>
        <w:snapToGrid w:val="0"/>
        <w:spacing w:before="156" w:beforeLines="50" w:after="156" w:afterLines="50"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（二）具体目标</w:t>
      </w:r>
    </w:p>
    <w:p w14:paraId="1C659598">
      <w:pPr>
        <w:snapToGrid w:val="0"/>
        <w:spacing w:line="400" w:lineRule="exact"/>
        <w:ind w:firstLine="480" w:firstLineChars="200"/>
        <w:rPr>
          <w:rFonts w:ascii="方正仿宋_GBK" w:hAnsi="Calibri" w:eastAsia="方正仿宋_GBK" w:cs="仿宋"/>
          <w:b/>
          <w:color w:val="FF0000"/>
          <w:kern w:val="0"/>
          <w:sz w:val="24"/>
        </w:rPr>
      </w:pPr>
      <w:r>
        <w:rPr>
          <w:rFonts w:hint="eastAsia" w:ascii="方正仿宋_GBK" w:hAnsi="Calibri" w:eastAsia="方正仿宋_GBK" w:cs="仿宋"/>
          <w:b/>
          <w:kern w:val="0"/>
          <w:sz w:val="24"/>
        </w:rPr>
        <w:t>1.知识目标</w:t>
      </w:r>
    </w:p>
    <w:p w14:paraId="6E646E1A">
      <w:pPr>
        <w:pStyle w:val="13"/>
        <w:numPr>
          <w:ilvl w:val="0"/>
          <w:numId w:val="0"/>
        </w:numPr>
        <w:ind w:leftChars="0"/>
        <w:rPr>
          <w:lang w:val="zh-CN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zh-CN"/>
        </w:rPr>
        <w:t>1）</w:t>
      </w:r>
      <w:r>
        <w:rPr>
          <w:rFonts w:hint="eastAsia" w:ascii="宋体" w:hAnsi="宋体" w:cs="宋体"/>
          <w:sz w:val="24"/>
          <w:lang w:val="en-US" w:eastAsia="zh-CN"/>
        </w:rPr>
        <w:t>掌握</w:t>
      </w:r>
      <w:r>
        <w:rPr>
          <w:rFonts w:hint="eastAsia" w:ascii="宋体" w:hAnsi="宋体" w:cs="宋体"/>
          <w:sz w:val="24"/>
          <w:lang w:val="zh-CN"/>
        </w:rPr>
        <w:t>物体</w:t>
      </w:r>
      <w:r>
        <w:rPr>
          <w:rFonts w:hint="eastAsia" w:ascii="宋体" w:hAnsi="宋体" w:cs="宋体"/>
          <w:sz w:val="24"/>
          <w:lang w:val="en-US" w:eastAsia="zh-CN"/>
        </w:rPr>
        <w:t>素描造型</w:t>
      </w:r>
      <w:r>
        <w:rPr>
          <w:rFonts w:hint="eastAsia" w:ascii="宋体" w:hAnsi="宋体" w:cs="宋体"/>
          <w:sz w:val="24"/>
          <w:lang w:val="zh-CN"/>
        </w:rPr>
        <w:t>透视关系营造。</w:t>
      </w:r>
    </w:p>
    <w:p w14:paraId="55139241">
      <w:pPr>
        <w:pStyle w:val="13"/>
        <w:numPr>
          <w:ilvl w:val="0"/>
          <w:numId w:val="0"/>
        </w:numPr>
        <w:ind w:leftChars="0"/>
        <w:rPr>
          <w:rFonts w:hint="eastAsia" w:ascii="宋体" w:hAnsi="宋体" w:cs="宋体"/>
          <w:sz w:val="24"/>
          <w:lang w:val="zh-CN" w:eastAsia="zh-CN"/>
        </w:rPr>
      </w:pPr>
      <w:r>
        <w:rPr>
          <w:rFonts w:hint="eastAsia" w:ascii="宋体" w:hAnsi="宋体" w:cs="宋体"/>
          <w:sz w:val="24"/>
        </w:rPr>
        <w:t>（2）掌</w:t>
      </w:r>
      <w:r>
        <w:rPr>
          <w:rFonts w:hint="eastAsia" w:ascii="宋体" w:hAnsi="宋体" w:cs="宋体"/>
          <w:sz w:val="24"/>
          <w:lang w:val="zh-CN"/>
        </w:rPr>
        <w:t>物体</w:t>
      </w:r>
      <w:r>
        <w:rPr>
          <w:rFonts w:hint="eastAsia" w:ascii="宋体" w:hAnsi="宋体" w:cs="宋体"/>
          <w:sz w:val="24"/>
          <w:lang w:val="en-US" w:eastAsia="zh-CN"/>
        </w:rPr>
        <w:t>素描造型</w:t>
      </w:r>
      <w:r>
        <w:rPr>
          <w:rFonts w:hint="eastAsia" w:ascii="宋体" w:hAnsi="宋体" w:cs="宋体"/>
          <w:sz w:val="24"/>
          <w:lang w:val="zh-CN"/>
        </w:rPr>
        <w:t>明暗关系营造。</w:t>
      </w:r>
    </w:p>
    <w:p w14:paraId="4840C9B2">
      <w:pPr>
        <w:pStyle w:val="13"/>
        <w:numPr>
          <w:ilvl w:val="0"/>
          <w:numId w:val="0"/>
        </w:numPr>
        <w:ind w:leftChars="0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）掌握</w:t>
      </w:r>
      <w:r>
        <w:rPr>
          <w:rFonts w:hint="eastAsia" w:ascii="宋体" w:hAnsi="宋体" w:cs="宋体"/>
          <w:sz w:val="24"/>
          <w:lang w:val="zh-CN"/>
        </w:rPr>
        <w:t>物体</w:t>
      </w:r>
      <w:r>
        <w:rPr>
          <w:rFonts w:hint="eastAsia" w:ascii="宋体" w:hAnsi="宋体" w:cs="宋体"/>
          <w:sz w:val="24"/>
          <w:lang w:val="en-US" w:eastAsia="zh-CN"/>
        </w:rPr>
        <w:t>素描造型质感、空间感的</w:t>
      </w:r>
      <w:r>
        <w:rPr>
          <w:rFonts w:hint="eastAsia" w:ascii="宋体" w:hAnsi="宋体" w:cs="宋体"/>
          <w:sz w:val="24"/>
          <w:lang w:val="zh-CN"/>
        </w:rPr>
        <w:t>塑造。</w:t>
      </w:r>
    </w:p>
    <w:p w14:paraId="0291CA69">
      <w:pPr>
        <w:pStyle w:val="13"/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）掌握</w:t>
      </w:r>
      <w:r>
        <w:rPr>
          <w:rFonts w:hint="eastAsia" w:ascii="宋体" w:hAnsi="宋体" w:cs="宋体"/>
          <w:sz w:val="24"/>
          <w:lang w:val="zh-CN"/>
        </w:rPr>
        <w:t>物体</w:t>
      </w:r>
      <w:r>
        <w:rPr>
          <w:rFonts w:hint="eastAsia" w:ascii="宋体" w:hAnsi="宋体" w:cs="宋体"/>
          <w:sz w:val="24"/>
          <w:lang w:val="en-US" w:eastAsia="zh-CN"/>
        </w:rPr>
        <w:t>素描造型</w:t>
      </w:r>
      <w:r>
        <w:rPr>
          <w:rFonts w:hint="eastAsia" w:ascii="宋体" w:hAnsi="宋体" w:cs="宋体"/>
          <w:sz w:val="24"/>
          <w:lang w:val="zh-CN"/>
        </w:rPr>
        <w:t>作品</w:t>
      </w:r>
      <w:r>
        <w:rPr>
          <w:rFonts w:hint="eastAsia" w:ascii="宋体" w:hAnsi="宋体" w:cs="宋体"/>
          <w:sz w:val="24"/>
          <w:lang w:val="en-US" w:eastAsia="zh-CN"/>
        </w:rPr>
        <w:t>深入刻画、</w:t>
      </w:r>
      <w:r>
        <w:rPr>
          <w:rFonts w:hint="eastAsia" w:ascii="宋体" w:hAnsi="宋体" w:cs="宋体"/>
          <w:sz w:val="24"/>
          <w:lang w:val="zh-CN"/>
        </w:rPr>
        <w:t>完整</w:t>
      </w:r>
      <w:r>
        <w:rPr>
          <w:rFonts w:hint="eastAsia" w:ascii="宋体" w:hAnsi="宋体" w:cs="宋体"/>
          <w:sz w:val="24"/>
          <w:lang w:val="en-US" w:eastAsia="zh-CN"/>
        </w:rPr>
        <w:t>统一的造型方法</w:t>
      </w:r>
      <w:r>
        <w:rPr>
          <w:rFonts w:hint="eastAsia" w:ascii="宋体" w:hAnsi="宋体" w:cs="宋体"/>
          <w:sz w:val="24"/>
          <w:lang w:val="zh-CN"/>
        </w:rPr>
        <w:t>。</w:t>
      </w:r>
    </w:p>
    <w:p w14:paraId="41853B22">
      <w:pPr>
        <w:snapToGrid w:val="0"/>
        <w:spacing w:line="400" w:lineRule="exact"/>
        <w:ind w:firstLine="480" w:firstLineChars="200"/>
        <w:rPr>
          <w:rFonts w:ascii="方正仿宋_GBK" w:hAnsi="Calibri" w:eastAsia="方正仿宋_GBK" w:cs="仿宋"/>
          <w:b/>
          <w:kern w:val="0"/>
          <w:sz w:val="24"/>
        </w:rPr>
      </w:pPr>
      <w:r>
        <w:rPr>
          <w:rFonts w:hint="eastAsia" w:ascii="方正仿宋_GBK" w:hAnsi="Calibri" w:eastAsia="方正仿宋_GBK" w:cs="仿宋"/>
          <w:b/>
          <w:kern w:val="0"/>
          <w:sz w:val="24"/>
        </w:rPr>
        <w:t>2.能力目标</w:t>
      </w:r>
    </w:p>
    <w:p w14:paraId="7C985D26">
      <w:pPr>
        <w:spacing w:line="380" w:lineRule="exact"/>
        <w:ind w:firstLine="480" w:firstLineChars="2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（1）具有运用</w:t>
      </w:r>
      <w:r>
        <w:rPr>
          <w:rFonts w:hint="eastAsia" w:ascii="宋体" w:hAnsi="宋体" w:cs="宋体"/>
          <w:sz w:val="24"/>
          <w:lang w:val="en-US" w:eastAsia="zh-CN"/>
        </w:rPr>
        <w:t>素描造型</w:t>
      </w:r>
      <w:r>
        <w:rPr>
          <w:rFonts w:hint="eastAsia" w:ascii="宋体" w:hAnsi="宋体" w:cs="宋体"/>
          <w:sz w:val="24"/>
        </w:rPr>
        <w:t>进行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设计能力,能够根据不同的需求和场合进行合理的设计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07E8D8C0">
      <w:pPr>
        <w:spacing w:line="380" w:lineRule="exact"/>
        <w:ind w:firstLine="480" w:firstLineChars="2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具有较强的手绘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设计能力，能够将创意转化为实际的设计作品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7EFE79FB">
      <w:pPr>
        <w:spacing w:line="38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具有较强的团队协作和沟通能力,能够与其他设计师、客户和生产厂家等进行有效的沟通和协作。</w:t>
      </w:r>
    </w:p>
    <w:p w14:paraId="6E03B546">
      <w:pPr>
        <w:snapToGrid w:val="0"/>
        <w:spacing w:line="400" w:lineRule="exact"/>
        <w:ind w:firstLine="480" w:firstLineChars="200"/>
        <w:rPr>
          <w:rFonts w:ascii="方正仿宋_GBK" w:hAnsi="Calibri" w:eastAsia="方正仿宋_GBK" w:cs="仿宋"/>
          <w:b/>
          <w:kern w:val="0"/>
          <w:sz w:val="24"/>
        </w:rPr>
      </w:pPr>
      <w:r>
        <w:rPr>
          <w:rFonts w:hint="eastAsia" w:ascii="方正仿宋_GBK" w:hAnsi="Calibri" w:eastAsia="方正仿宋_GBK" w:cs="仿宋"/>
          <w:b/>
          <w:kern w:val="0"/>
          <w:sz w:val="24"/>
        </w:rPr>
        <w:t>3.素质目标</w:t>
      </w:r>
    </w:p>
    <w:p w14:paraId="6B80212F">
      <w:pPr>
        <w:spacing w:line="38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（1）具有良好的审美能力和创意思维能力,能够敏锐地捕捉时尚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元素和设计趋势</w:t>
      </w:r>
      <w:r>
        <w:rPr>
          <w:rFonts w:hint="eastAsia" w:ascii="宋体" w:hAnsi="宋体" w:cs="宋体"/>
          <w:sz w:val="24"/>
          <w:lang w:val="en-US" w:eastAsia="zh-CN"/>
        </w:rPr>
        <w:t>；</w:t>
      </w:r>
    </w:p>
    <w:p w14:paraId="578AA038">
      <w:pPr>
        <w:spacing w:line="38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具有较高的文化素养和艺术修养,能够理解和传承传统文化和艺术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2E106B68">
      <w:pPr>
        <w:spacing w:line="38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具有高度的责任感和职业道德,能够遵循设计伦理和职业道德规范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3FCCFDF9">
      <w:pPr>
        <w:spacing w:line="38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具有较好的团队合作能力和沟通能力,能够积极参与团队工作和与客户、厂家等进行有效的沟通。</w:t>
      </w:r>
    </w:p>
    <w:p w14:paraId="4060E481">
      <w:pPr>
        <w:rPr>
          <w:sz w:val="24"/>
        </w:rPr>
      </w:pPr>
    </w:p>
    <w:p w14:paraId="707665F4">
      <w:pPr>
        <w:snapToGrid w:val="0"/>
        <w:spacing w:before="156" w:beforeLines="50" w:after="156" w:afterLines="50" w:line="400" w:lineRule="exact"/>
        <w:ind w:firstLine="560" w:firstLineChars="20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五、课程内容与要求</w:t>
      </w:r>
    </w:p>
    <w:p w14:paraId="12EA4246">
      <w:pPr>
        <w:snapToGrid w:val="0"/>
        <w:spacing w:before="156" w:beforeLines="50" w:after="156" w:afterLines="5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表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 xml:space="preserve">  课程内容表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529"/>
        <w:gridCol w:w="1525"/>
        <w:gridCol w:w="1678"/>
        <w:gridCol w:w="1725"/>
        <w:gridCol w:w="1332"/>
      </w:tblGrid>
      <w:tr w14:paraId="5DE2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  <w:vAlign w:val="center"/>
          </w:tcPr>
          <w:p w14:paraId="26FE5C7A">
            <w:pPr>
              <w:spacing w:line="400" w:lineRule="exact"/>
              <w:jc w:val="center"/>
              <w:rPr>
                <w:rFonts w:ascii="黑体" w:eastAsia="楷体_GB2312"/>
                <w:b/>
                <w:sz w:val="24"/>
              </w:rPr>
            </w:pPr>
            <w:r>
              <w:rPr>
                <w:rFonts w:hint="eastAsia" w:ascii="黑体" w:eastAsia="楷体_GB2312"/>
                <w:b/>
                <w:sz w:val="24"/>
              </w:rPr>
              <w:t>序号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BEBBA9F">
            <w:pPr>
              <w:spacing w:line="400" w:lineRule="exact"/>
              <w:jc w:val="center"/>
              <w:rPr>
                <w:rFonts w:ascii="黑体" w:eastAsia="楷体_GB2312"/>
                <w:b/>
                <w:sz w:val="24"/>
              </w:rPr>
            </w:pPr>
            <w:r>
              <w:rPr>
                <w:rFonts w:hint="eastAsia" w:ascii="黑体" w:eastAsia="楷体_GB2312"/>
                <w:b/>
                <w:sz w:val="24"/>
              </w:rPr>
              <w:t>学习单元</w:t>
            </w:r>
          </w:p>
        </w:tc>
        <w:tc>
          <w:tcPr>
            <w:tcW w:w="1525" w:type="dxa"/>
          </w:tcPr>
          <w:p w14:paraId="38513C9D">
            <w:pPr>
              <w:spacing w:line="400" w:lineRule="exact"/>
              <w:jc w:val="center"/>
              <w:rPr>
                <w:rFonts w:ascii="黑体" w:eastAsia="楷体_GB2312"/>
                <w:b/>
                <w:sz w:val="24"/>
              </w:rPr>
            </w:pPr>
            <w:r>
              <w:rPr>
                <w:rFonts w:hint="eastAsia" w:ascii="黑体" w:eastAsia="楷体_GB2312"/>
                <w:b/>
                <w:sz w:val="24"/>
              </w:rPr>
              <w:t>学习目标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940C6F1">
            <w:pPr>
              <w:spacing w:line="400" w:lineRule="exact"/>
              <w:jc w:val="center"/>
              <w:rPr>
                <w:rFonts w:ascii="黑体" w:eastAsia="楷体_GB2312"/>
                <w:b/>
                <w:sz w:val="24"/>
              </w:rPr>
            </w:pPr>
            <w:r>
              <w:rPr>
                <w:rFonts w:hint="eastAsia" w:ascii="黑体" w:eastAsia="楷体_GB2312"/>
                <w:b/>
                <w:sz w:val="24"/>
              </w:rPr>
              <w:t>学习内容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EB4DD4A">
            <w:pPr>
              <w:spacing w:line="400" w:lineRule="exact"/>
              <w:jc w:val="center"/>
              <w:rPr>
                <w:rFonts w:ascii="黑体" w:eastAsia="楷体_GB2312"/>
                <w:b/>
                <w:sz w:val="24"/>
              </w:rPr>
            </w:pPr>
            <w:r>
              <w:rPr>
                <w:rFonts w:hint="eastAsia" w:ascii="黑体" w:eastAsia="楷体_GB2312"/>
                <w:b/>
                <w:sz w:val="24"/>
              </w:rPr>
              <w:t>学习要求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F38FF5D">
            <w:pPr>
              <w:spacing w:line="400" w:lineRule="exact"/>
              <w:jc w:val="center"/>
              <w:rPr>
                <w:rFonts w:ascii="黑体" w:eastAsia="楷体_GB2312"/>
                <w:b/>
                <w:sz w:val="24"/>
              </w:rPr>
            </w:pPr>
            <w:r>
              <w:rPr>
                <w:rFonts w:hint="eastAsia" w:ascii="黑体" w:eastAsia="楷体_GB2312"/>
                <w:b/>
                <w:sz w:val="24"/>
              </w:rPr>
              <w:t>学时安排</w:t>
            </w:r>
          </w:p>
        </w:tc>
      </w:tr>
      <w:tr w14:paraId="17AC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  <w:vAlign w:val="center"/>
          </w:tcPr>
          <w:p w14:paraId="6B967291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5623EB2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项目一</w:t>
            </w:r>
          </w:p>
          <w:p w14:paraId="51E84C5C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素描基础</w:t>
            </w:r>
          </w:p>
        </w:tc>
        <w:tc>
          <w:tcPr>
            <w:tcW w:w="1525" w:type="dxa"/>
            <w:vAlign w:val="center"/>
          </w:tcPr>
          <w:p w14:paraId="745B9F2C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任务一</w:t>
            </w:r>
          </w:p>
          <w:p w14:paraId="5263DF1D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了解素描基础知识</w:t>
            </w:r>
          </w:p>
          <w:p w14:paraId="65E72524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任务二</w:t>
            </w:r>
          </w:p>
          <w:p w14:paraId="65C6CE4A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掌握素描工具与材料的特点及使用方法</w:t>
            </w:r>
          </w:p>
          <w:p w14:paraId="5C08EEB1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任务三</w:t>
            </w:r>
          </w:p>
          <w:p w14:paraId="0D82C798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掌握素描的基本要素与表现形式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96472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Chars="0"/>
              <w:jc w:val="both"/>
              <w:textAlignment w:val="auto"/>
              <w:rPr>
                <w:rFonts w:hint="eastAsia"/>
              </w:rPr>
            </w:pPr>
          </w:p>
          <w:p w14:paraId="5CA63F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素描基础知识</w:t>
            </w:r>
          </w:p>
          <w:p w14:paraId="069DDE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素描工具与材料的特点及使用方法</w:t>
            </w:r>
          </w:p>
          <w:p w14:paraId="26F8A8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Chars="0"/>
              <w:jc w:val="both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素描的基本要素与表现形式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76C9D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Chars="0"/>
              <w:jc w:val="both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重点：掌握素描</w:t>
            </w:r>
            <w:r>
              <w:rPr>
                <w:rFonts w:hint="eastAsia"/>
                <w:lang w:val="en-US" w:eastAsia="zh-CN"/>
              </w:rPr>
              <w:t>的概念</w:t>
            </w:r>
            <w:r>
              <w:rPr>
                <w:rFonts w:hint="eastAsia"/>
              </w:rPr>
              <w:t>；掌握形体透视关系；掌握素描工具与材料的特点及使用方法</w:t>
            </w:r>
            <w:r>
              <w:rPr>
                <w:rFonts w:hint="eastAsia"/>
                <w:lang w:eastAsia="zh-CN"/>
              </w:rPr>
              <w:t>。</w:t>
            </w:r>
          </w:p>
          <w:p w14:paraId="41B680E0">
            <w:pPr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难点：掌握素描的基本要素与表现形式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1CCB782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Theme="minorEastAsia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理论学时3</w:t>
            </w:r>
          </w:p>
        </w:tc>
      </w:tr>
      <w:tr w14:paraId="1D595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  <w:vAlign w:val="center"/>
          </w:tcPr>
          <w:p w14:paraId="371C0803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7E58AF54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项目二</w:t>
            </w:r>
          </w:p>
          <w:p w14:paraId="78DC76B6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</w:rPr>
              <w:t>静物素描</w:t>
            </w:r>
          </w:p>
        </w:tc>
        <w:tc>
          <w:tcPr>
            <w:tcW w:w="1525" w:type="dxa"/>
            <w:vAlign w:val="center"/>
          </w:tcPr>
          <w:p w14:paraId="49D3AA7B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任务一</w:t>
            </w:r>
          </w:p>
          <w:p w14:paraId="3869166D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掌握静物写生的重点</w:t>
            </w:r>
          </w:p>
          <w:p w14:paraId="566ACD42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任务二</w:t>
            </w:r>
          </w:p>
          <w:p w14:paraId="5E9FA870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了解静物写生的步骤</w:t>
            </w:r>
          </w:p>
          <w:p w14:paraId="194E827E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任务三</w:t>
            </w:r>
          </w:p>
          <w:p w14:paraId="2887F06B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掌握静物写生的质感表现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4EFE57C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  <w:p w14:paraId="68C27FFA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1、静物写生的步骤</w:t>
            </w:r>
          </w:p>
          <w:p w14:paraId="12DC896D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多种物体的构图关系处理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静物写生的质感表现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0A0C339">
            <w:r>
              <w:rPr>
                <w:rFonts w:hint="eastAsia"/>
              </w:rPr>
              <w:t>重点：</w:t>
            </w: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静物写生的步骤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掌握多个形体之间的透视关系；</w:t>
            </w:r>
          </w:p>
          <w:p w14:paraId="0B73180F">
            <w:pPr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难点：掌握多个形体相互影响的明暗关系</w:t>
            </w:r>
            <w:r>
              <w:rPr>
                <w:rFonts w:hint="eastAsia"/>
                <w:lang w:val="en-US" w:eastAsia="zh-CN"/>
              </w:rPr>
              <w:t>及静物</w:t>
            </w:r>
            <w:r>
              <w:rPr>
                <w:rFonts w:hint="eastAsia"/>
              </w:rPr>
              <w:t>质感表现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180F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理论学时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实践学时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</w:t>
            </w:r>
          </w:p>
        </w:tc>
      </w:tr>
      <w:tr w14:paraId="2DF2E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  <w:vAlign w:val="center"/>
          </w:tcPr>
          <w:p w14:paraId="3F0697A8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BDBBD6E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项目三</w:t>
            </w:r>
          </w:p>
          <w:p w14:paraId="4AF7A73A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石膏像素描</w:t>
            </w:r>
          </w:p>
        </w:tc>
        <w:tc>
          <w:tcPr>
            <w:tcW w:w="1525" w:type="dxa"/>
            <w:vAlign w:val="center"/>
          </w:tcPr>
          <w:p w14:paraId="235D11F9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任务一</w:t>
            </w:r>
          </w:p>
          <w:p w14:paraId="0851B689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掌握石膏像写生的重点</w:t>
            </w:r>
          </w:p>
          <w:p w14:paraId="11F0744F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任务二</w:t>
            </w:r>
          </w:p>
          <w:p w14:paraId="4285ECFB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掌握石膏像写生的方法步骤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ED996C9">
            <w:pPr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石膏像写生的重点</w:t>
            </w:r>
          </w:p>
          <w:p w14:paraId="1DE56979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石膏像写生的方法步骤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91C6AAF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重点：</w:t>
            </w:r>
            <w:r>
              <w:rPr>
                <w:rFonts w:hint="eastAsia"/>
                <w:lang w:val="en-US" w:eastAsia="zh-CN"/>
              </w:rPr>
              <w:t>石膏像写生的</w:t>
            </w:r>
            <w:r>
              <w:rPr>
                <w:rFonts w:hint="eastAsia"/>
              </w:rPr>
              <w:t>形体大小比例关系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透视关系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明暗关系</w:t>
            </w:r>
            <w:r>
              <w:rPr>
                <w:rFonts w:hint="eastAsia"/>
                <w:lang w:eastAsia="zh-CN"/>
              </w:rPr>
              <w:t>；</w:t>
            </w:r>
          </w:p>
          <w:p w14:paraId="3CA93BD8">
            <w:pPr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难点：</w:t>
            </w:r>
            <w:r>
              <w:rPr>
                <w:rFonts w:hint="eastAsia"/>
                <w:lang w:val="en-US" w:eastAsia="zh-CN"/>
              </w:rPr>
              <w:t>石膏像形</w:t>
            </w:r>
            <w:r>
              <w:rPr>
                <w:rFonts w:hint="eastAsia"/>
              </w:rPr>
              <w:t>体透视关系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D630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理论学时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实践学时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</w:t>
            </w:r>
          </w:p>
        </w:tc>
      </w:tr>
      <w:tr w14:paraId="124E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  <w:vAlign w:val="center"/>
          </w:tcPr>
          <w:p w14:paraId="5A0CEF59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5760DCD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项目四</w:t>
            </w:r>
          </w:p>
          <w:p w14:paraId="0245CEF5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头像素描</w:t>
            </w:r>
          </w:p>
        </w:tc>
        <w:tc>
          <w:tcPr>
            <w:tcW w:w="1525" w:type="dxa"/>
            <w:vAlign w:val="center"/>
          </w:tcPr>
          <w:p w14:paraId="5D255550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任务一</w:t>
            </w:r>
          </w:p>
          <w:p w14:paraId="32EE8650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掌握头像写生的重点</w:t>
            </w:r>
          </w:p>
          <w:p w14:paraId="724A1D5A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任务二</w:t>
            </w:r>
          </w:p>
          <w:p w14:paraId="76AB9C50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掌握头像写生的步骤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D4279AC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1、头像写生的重点</w:t>
            </w:r>
          </w:p>
          <w:p w14:paraId="6B3532AF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71338F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头像写生的步骤</w:t>
            </w:r>
          </w:p>
          <w:p w14:paraId="4AE5BE41">
            <w:pPr>
              <w:pStyle w:val="13"/>
              <w:numPr>
                <w:ilvl w:val="0"/>
                <w:numId w:val="0"/>
              </w:numPr>
              <w:ind w:leftChars="0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五官的结构转折处关系处理</w:t>
            </w:r>
          </w:p>
          <w:p w14:paraId="6BDE6F4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五官的明暗与黑白处理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55856F0">
            <w:pPr>
              <w:rPr>
                <w:rFonts w:hint="eastAsia"/>
              </w:rPr>
            </w:pPr>
            <w:r>
              <w:rPr>
                <w:rFonts w:hint="eastAsia"/>
              </w:rPr>
              <w:t>重点：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掌握头像写生的步骤，</w:t>
            </w:r>
            <w:r>
              <w:rPr>
                <w:rFonts w:hint="eastAsia"/>
              </w:rPr>
              <w:t>掌握五官的结构；掌握五官的明暗与黑白</w:t>
            </w:r>
            <w:r>
              <w:rPr>
                <w:rFonts w:hint="eastAsia"/>
                <w:lang w:val="en-US" w:eastAsia="zh-CN"/>
              </w:rPr>
              <w:t>关系</w:t>
            </w:r>
            <w:r>
              <w:rPr>
                <w:rFonts w:hint="eastAsia"/>
              </w:rPr>
              <w:t>处理；</w:t>
            </w:r>
          </w:p>
          <w:p w14:paraId="6CA28352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难点：掌握五官的转折线条处理</w:t>
            </w:r>
            <w:r>
              <w:rPr>
                <w:rFonts w:hint="eastAsia"/>
                <w:lang w:val="en-US" w:eastAsia="zh-CN"/>
              </w:rPr>
              <w:t>与运用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A032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理论学时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实践学时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</w:t>
            </w:r>
          </w:p>
        </w:tc>
      </w:tr>
      <w:tr w14:paraId="50E4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  <w:vAlign w:val="center"/>
          </w:tcPr>
          <w:p w14:paraId="64880679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0BB4713E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项目五</w:t>
            </w:r>
          </w:p>
          <w:p w14:paraId="4F206E61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人物素描</w:t>
            </w:r>
          </w:p>
        </w:tc>
        <w:tc>
          <w:tcPr>
            <w:tcW w:w="1525" w:type="dxa"/>
            <w:shd w:val="clear" w:color="auto" w:fill="auto"/>
            <w:vAlign w:val="top"/>
          </w:tcPr>
          <w:p w14:paraId="1D1F92B1">
            <w:pPr>
              <w:rPr>
                <w:color w:val="auto"/>
                <w:szCs w:val="16"/>
              </w:rPr>
            </w:pPr>
            <w:r>
              <w:rPr>
                <w:rFonts w:hint="eastAsia"/>
                <w:color w:val="auto"/>
                <w:szCs w:val="16"/>
              </w:rPr>
              <w:t>任务一</w:t>
            </w:r>
          </w:p>
          <w:p w14:paraId="4D82D637">
            <w:pPr>
              <w:rPr>
                <w:rFonts w:hint="eastAsia"/>
                <w:color w:val="auto"/>
                <w:szCs w:val="16"/>
              </w:rPr>
            </w:pPr>
            <w:r>
              <w:rPr>
                <w:rFonts w:hint="eastAsia"/>
                <w:color w:val="auto"/>
                <w:szCs w:val="16"/>
              </w:rPr>
              <w:t>掌握人物写生的重点</w:t>
            </w:r>
          </w:p>
          <w:p w14:paraId="494F939B">
            <w:pPr>
              <w:rPr>
                <w:color w:val="auto"/>
                <w:szCs w:val="16"/>
              </w:rPr>
            </w:pPr>
            <w:r>
              <w:rPr>
                <w:rFonts w:hint="eastAsia"/>
                <w:color w:val="auto"/>
                <w:szCs w:val="16"/>
              </w:rPr>
              <w:t>任务二</w:t>
            </w:r>
          </w:p>
          <w:p w14:paraId="713FBC5F">
            <w:pPr>
              <w:rPr>
                <w:rFonts w:hint="eastAsia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Cs w:val="16"/>
              </w:rPr>
              <w:t>掌握人物写生的步骤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962356E">
            <w:pPr>
              <w:rPr>
                <w:rFonts w:hint="eastAsia" w:eastAsiaTheme="minorEastAsia"/>
                <w:color w:val="auto"/>
                <w:szCs w:val="16"/>
                <w:lang w:eastAsia="zh-CN"/>
              </w:rPr>
            </w:pPr>
            <w:r>
              <w:rPr>
                <w:rFonts w:hint="eastAsia"/>
                <w:color w:val="auto"/>
                <w:szCs w:val="16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szCs w:val="16"/>
              </w:rPr>
              <w:t>人物写生的重点</w:t>
            </w:r>
            <w:r>
              <w:rPr>
                <w:rFonts w:hint="eastAsia"/>
                <w:color w:val="auto"/>
                <w:szCs w:val="16"/>
                <w:lang w:eastAsia="zh-CN"/>
              </w:rPr>
              <w:t>；</w:t>
            </w:r>
          </w:p>
          <w:p w14:paraId="56E28963">
            <w:pPr>
              <w:pStyle w:val="13"/>
              <w:numPr>
                <w:ilvl w:val="0"/>
                <w:numId w:val="0"/>
              </w:numPr>
              <w:ind w:leftChars="0"/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16"/>
                <w:lang w:val="en-US" w:eastAsia="zh-CN"/>
              </w:rPr>
              <w:t>2、</w:t>
            </w:r>
            <w:r>
              <w:rPr>
                <w:rFonts w:hint="eastAsia"/>
                <w:color w:val="auto"/>
                <w:szCs w:val="16"/>
              </w:rPr>
              <w:t>人物写生的步骤</w:t>
            </w:r>
            <w:r>
              <w:rPr>
                <w:rFonts w:hint="eastAsia"/>
                <w:color w:val="auto"/>
                <w:szCs w:val="16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.人体手、脚的比例</w:t>
            </w:r>
            <w:r>
              <w:rPr>
                <w:rFonts w:hint="eastAsia"/>
              </w:rPr>
              <w:t>关系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动态</w:t>
            </w:r>
            <w:r>
              <w:rPr>
                <w:rFonts w:hint="eastAsia"/>
              </w:rPr>
              <w:t>关系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整体协调的处理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910F858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重点：掌握手、脚的结构；掌握手、脚的动态处理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；</w:t>
            </w:r>
          </w:p>
          <w:p w14:paraId="5102052C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难点：手、脚的整体协调处理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2939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sz w:val="21"/>
                <w:szCs w:val="21"/>
                <w:lang w:val="en-US" w:eastAsia="zh-CN"/>
              </w:rPr>
              <w:t>理论学时2实践学时8</w:t>
            </w:r>
          </w:p>
        </w:tc>
      </w:tr>
      <w:tr w14:paraId="5A8B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  <w:shd w:val="clear" w:color="auto" w:fill="auto"/>
          </w:tcPr>
          <w:p w14:paraId="7ADF66F6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</w:p>
          <w:p w14:paraId="34D1D1F2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08CC9EC2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项目六</w:t>
            </w:r>
          </w:p>
          <w:p w14:paraId="5D54AAA5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速写</w:t>
            </w:r>
          </w:p>
        </w:tc>
        <w:tc>
          <w:tcPr>
            <w:tcW w:w="1525" w:type="dxa"/>
            <w:shd w:val="clear" w:color="auto" w:fill="auto"/>
            <w:vAlign w:val="top"/>
          </w:tcPr>
          <w:p w14:paraId="2DB09F68"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任务一</w:t>
            </w:r>
          </w:p>
          <w:p w14:paraId="69CBA97C"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了解速写的作用与意义</w:t>
            </w:r>
          </w:p>
          <w:p w14:paraId="2F72C976"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任务二</w:t>
            </w:r>
          </w:p>
          <w:p w14:paraId="2FCD3F97"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掌握人物速写技法</w:t>
            </w:r>
          </w:p>
          <w:p w14:paraId="41AB0F68"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任务三</w:t>
            </w:r>
          </w:p>
          <w:p w14:paraId="5585BE2A"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 xml:space="preserve"> 掌握风景速写技法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A9BA0FF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 w:eastAsiaTheme="minorEastAsia"/>
                <w:lang w:val="en-US" w:eastAsia="zh-CN"/>
              </w:rPr>
              <w:t>速写的作用与意义</w:t>
            </w:r>
          </w:p>
          <w:p w14:paraId="486B249A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 w:eastAsiaTheme="minorEastAsia"/>
                <w:lang w:val="en-US" w:eastAsia="zh-CN"/>
              </w:rPr>
              <w:t>人物速写技法</w:t>
            </w:r>
          </w:p>
          <w:p w14:paraId="04EFD54F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default" w:eastAsiaTheme="minorEastAsia"/>
                <w:lang w:val="en-US" w:eastAsia="zh-CN"/>
              </w:rPr>
              <w:t>风景速写技法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C4A2F56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重点：掌握速写的基本表现技法，运用不同的工具材料进行速写练习；</w:t>
            </w:r>
          </w:p>
          <w:p w14:paraId="458CEA0E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难点：</w:t>
            </w:r>
            <w:r>
              <w:rPr>
                <w:sz w:val="21"/>
                <w:szCs w:val="21"/>
              </w:rPr>
              <w:t>学会熟练运用速写的表现技法，提高善于捕捉艺术灵感的造型能力。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3054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Theme="minorEastAsia"/>
                <w:sz w:val="21"/>
                <w:szCs w:val="21"/>
                <w:lang w:val="en-US" w:eastAsia="zh-CN"/>
              </w:rPr>
              <w:t>理论学时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Theme="minorEastAsia"/>
                <w:sz w:val="21"/>
                <w:szCs w:val="21"/>
                <w:lang w:val="en-US" w:eastAsia="zh-CN"/>
              </w:rPr>
              <w:t>实践学时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</w:tr>
      <w:tr w14:paraId="2A6C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6"/>
            <w:shd w:val="clear" w:color="auto" w:fill="auto"/>
          </w:tcPr>
          <w:p w14:paraId="48E0F4ED">
            <w:pPr>
              <w:keepNext w:val="0"/>
              <w:keepLines w:val="0"/>
              <w:pageBreakBefore w:val="0"/>
              <w:widowControl w:val="0"/>
              <w:tabs>
                <w:tab w:val="left" w:pos="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学时合计：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学时，其中理论课时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/>
                <w:sz w:val="21"/>
                <w:szCs w:val="21"/>
              </w:rPr>
              <w:t>学时，实践课时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/>
                <w:sz w:val="21"/>
                <w:szCs w:val="21"/>
              </w:rPr>
              <w:t>学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</w:tr>
    </w:tbl>
    <w:p w14:paraId="1CE888FF">
      <w:pPr>
        <w:snapToGrid w:val="0"/>
        <w:spacing w:before="156" w:beforeLines="50" w:after="156" w:afterLines="50" w:line="400" w:lineRule="exact"/>
        <w:ind w:firstLine="560" w:firstLineChars="200"/>
        <w:rPr>
          <w:rFonts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六、课程实施建议</w:t>
      </w:r>
    </w:p>
    <w:p w14:paraId="2015B770">
      <w:pPr>
        <w:snapToGrid w:val="0"/>
        <w:spacing w:before="156" w:beforeLines="50" w:after="156" w:afterLines="50" w:line="400" w:lineRule="exact"/>
        <w:ind w:firstLine="482" w:firstLineChars="200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（一）课程教学建议</w:t>
      </w:r>
    </w:p>
    <w:p w14:paraId="1EF76071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启发性教学 </w:t>
      </w:r>
    </w:p>
    <w:p w14:paraId="647D5202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教学过程中，重视对学生的启发式教学。当学生提出问题时，避免采用“注入式”灌 输知识的方式，而采用提问和引导思考的方式，循序渐进地诱导、启发、鼓励学生对问题和现象进行思考、讨论，让学生不仅掌握知识、理解学习的过程，而且还能够掌握获取知识的方法，促使学生“学会学习”。</w:t>
      </w:r>
    </w:p>
    <w:p w14:paraId="750442C8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示范教学法</w:t>
      </w:r>
    </w:p>
    <w:p w14:paraId="67C71654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学生提出问题时，教师除了做任务解答外，还需做必须的技法示范，示范教学要求方法步骤明确，使学生易学易懂，指导性强。</w:t>
      </w:r>
    </w:p>
    <w:p w14:paraId="3458A64F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现场教学法</w:t>
      </w:r>
    </w:p>
    <w:p w14:paraId="1407C3F5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在教学过程中，安排并带领学生到设计公司和与本专业教学相关企业，有设计师介绍设计</w:t>
      </w:r>
      <w:r>
        <w:rPr>
          <w:rFonts w:hint="eastAsia" w:ascii="宋体" w:hAnsi="宋体"/>
          <w:sz w:val="24"/>
          <w:lang w:val="en-US" w:eastAsia="zh-CN"/>
        </w:rPr>
        <w:t>造型</w:t>
      </w:r>
      <w:r>
        <w:rPr>
          <w:rFonts w:hint="eastAsia" w:ascii="宋体" w:hAnsi="宋体"/>
          <w:sz w:val="24"/>
        </w:rPr>
        <w:t>的思路及</w:t>
      </w:r>
      <w:r>
        <w:rPr>
          <w:rFonts w:hint="eastAsia" w:ascii="宋体" w:hAnsi="宋体"/>
          <w:sz w:val="24"/>
          <w:lang w:val="en-US" w:eastAsia="zh-CN"/>
        </w:rPr>
        <w:t>造型</w:t>
      </w:r>
      <w:r>
        <w:rPr>
          <w:rFonts w:hint="eastAsia" w:ascii="宋体" w:hAnsi="宋体"/>
          <w:sz w:val="24"/>
        </w:rPr>
        <w:t>表现手法，进行实际项目</w:t>
      </w:r>
      <w:r>
        <w:rPr>
          <w:rFonts w:hint="eastAsia" w:ascii="宋体" w:hAnsi="宋体"/>
          <w:sz w:val="24"/>
          <w:lang w:val="en-US" w:eastAsia="zh-CN"/>
        </w:rPr>
        <w:t>造型</w:t>
      </w:r>
      <w:r>
        <w:rPr>
          <w:rFonts w:hint="eastAsia" w:ascii="宋体" w:hAnsi="宋体"/>
          <w:sz w:val="24"/>
        </w:rPr>
        <w:t>设计，其目的是使学生对设计作品</w:t>
      </w:r>
      <w:r>
        <w:rPr>
          <w:rFonts w:hint="eastAsia" w:ascii="宋体" w:hAnsi="宋体"/>
          <w:sz w:val="24"/>
          <w:lang w:val="en-US" w:eastAsia="zh-CN"/>
        </w:rPr>
        <w:t>造型</w:t>
      </w:r>
      <w:r>
        <w:rPr>
          <w:rFonts w:hint="eastAsia" w:ascii="宋体" w:hAnsi="宋体"/>
          <w:sz w:val="24"/>
        </w:rPr>
        <w:t>表现产生感性认识。这样既能让学生掌握扎实的专业知识，又能使学生将理论联系实际，变空洞为具体，激发学生的创新能力。</w:t>
      </w:r>
    </w:p>
    <w:p w14:paraId="7311EE35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讨论式教学法</w:t>
      </w:r>
    </w:p>
    <w:p w14:paraId="34969B41">
      <w:pPr>
        <w:spacing w:line="38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在授课的过程中，定期讲评学生的作品，以学生自述为主，教师、</w:t>
      </w:r>
      <w:r>
        <w:rPr>
          <w:rFonts w:hint="eastAsia" w:ascii="宋体" w:hAnsi="宋体"/>
          <w:sz w:val="24"/>
          <w:lang w:val="en-US" w:eastAsia="zh-CN"/>
        </w:rPr>
        <w:t>学生相互</w:t>
      </w:r>
      <w:r>
        <w:rPr>
          <w:rFonts w:hint="eastAsia" w:ascii="宋体" w:hAnsi="宋体"/>
          <w:sz w:val="24"/>
        </w:rPr>
        <w:t>评论为辅的形式，加强学生分析作品的能力，同时增强学生创作的自信心。</w:t>
      </w:r>
    </w:p>
    <w:p w14:paraId="55F34448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 w14:paraId="521AC0F3">
      <w:pPr>
        <w:snapToGrid w:val="0"/>
        <w:spacing w:before="156" w:beforeLines="50" w:after="156" w:afterLines="50" w:line="400" w:lineRule="exact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（二）考核评价建议</w:t>
      </w:r>
    </w:p>
    <w:p w14:paraId="7896DF26">
      <w:pPr>
        <w:snapToGrid w:val="0"/>
        <w:spacing w:line="4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1.课程考核采用形成性考核（即过程考核）和终结性考核相结合。形成性考核占40%（即平时成绩），终结性考核（及期末考试）占60%。</w:t>
      </w:r>
    </w:p>
    <w:p w14:paraId="32F319B4">
      <w:pPr>
        <w:snapToGrid w:val="0"/>
        <w:spacing w:line="4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课程成绩（100%）=形成性考核（即平时成绩）*40%+终结性考核（即期末考试）*60%</w:t>
      </w:r>
    </w:p>
    <w:p w14:paraId="2409557F">
      <w:pPr>
        <w:snapToGrid w:val="0"/>
        <w:spacing w:line="4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2.形成性考核分（100%）=平时作业总分/作业次数-课堂考勤扣分（课堂考勤迟到或早退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次扣1分，旷课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节扣3分，旷课3次以上无资格考试；课堂表现上课不专心听讲扣3-5分，扰乱课堂秩序影响他人扣5-10分、上课不带齐要求的工具等扣5-10分）。</w:t>
      </w:r>
    </w:p>
    <w:p w14:paraId="26976759">
      <w:pPr>
        <w:snapToGrid w:val="0"/>
        <w:spacing w:line="400" w:lineRule="exact"/>
        <w:ind w:firstLine="480" w:firstLineChars="200"/>
        <w:rPr>
          <w:sz w:val="24"/>
        </w:rPr>
      </w:pPr>
      <w:r>
        <w:rPr>
          <w:rFonts w:hint="eastAsia" w:ascii="宋体" w:hAnsi="宋体" w:cs="宋体"/>
          <w:sz w:val="24"/>
        </w:rPr>
        <w:t>3.最终终结性考核一般指结课大作业或最后一次项目作业，其评分标准与平时作业评分标准一致（满分100）：</w:t>
      </w:r>
    </w:p>
    <w:p w14:paraId="194D4A48">
      <w:pPr>
        <w:ind w:firstLine="435"/>
      </w:pPr>
    </w:p>
    <w:p w14:paraId="4C5CD6BA">
      <w:pPr>
        <w:snapToGrid w:val="0"/>
        <w:spacing w:before="156" w:beforeLines="50" w:after="156" w:afterLines="50"/>
        <w:jc w:val="center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表4  课程评分标准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5688"/>
        <w:gridCol w:w="2183"/>
      </w:tblGrid>
      <w:tr w14:paraId="38C4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Align w:val="center"/>
          </w:tcPr>
          <w:p w14:paraId="51C3C1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5688" w:type="dxa"/>
            <w:vAlign w:val="center"/>
          </w:tcPr>
          <w:p w14:paraId="0E2E35D2">
            <w:pPr>
              <w:ind w:firstLine="1155" w:firstLineChars="5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各基本要素评分标准</w:t>
            </w:r>
          </w:p>
        </w:tc>
        <w:tc>
          <w:tcPr>
            <w:tcW w:w="2183" w:type="dxa"/>
            <w:vAlign w:val="center"/>
          </w:tcPr>
          <w:p w14:paraId="716E105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各基本要素分值</w:t>
            </w:r>
          </w:p>
          <w:p w14:paraId="380C8B60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（满分100）</w:t>
            </w:r>
          </w:p>
        </w:tc>
      </w:tr>
      <w:tr w14:paraId="6C004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Align w:val="center"/>
          </w:tcPr>
          <w:p w14:paraId="4704AAA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688" w:type="dxa"/>
          </w:tcPr>
          <w:p w14:paraId="494B25EC">
            <w:pPr>
              <w:rPr>
                <w:rFonts w:hint="eastAsia"/>
              </w:rPr>
            </w:pPr>
            <w:r>
              <w:rPr>
                <w:rFonts w:hint="eastAsia"/>
              </w:rPr>
              <w:t>教师根据学生在课堂上的表现，包括回答问题、参与讨论、提出创意等方面的表现进行评分</w:t>
            </w:r>
          </w:p>
        </w:tc>
        <w:tc>
          <w:tcPr>
            <w:tcW w:w="2183" w:type="dxa"/>
            <w:vAlign w:val="center"/>
          </w:tcPr>
          <w:p w14:paraId="149309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20分</w:t>
            </w:r>
          </w:p>
        </w:tc>
      </w:tr>
      <w:tr w14:paraId="0E199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Align w:val="center"/>
          </w:tcPr>
          <w:p w14:paraId="6DF4E9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688" w:type="dxa"/>
          </w:tcPr>
          <w:p w14:paraId="27CB80BB">
            <w:pPr>
              <w:rPr>
                <w:rFonts w:hint="eastAsia"/>
              </w:rPr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  <w:lang w:eastAsia="zh-CN"/>
              </w:rPr>
              <w:t>平时作业</w:t>
            </w:r>
            <w:r>
              <w:rPr>
                <w:rFonts w:hint="eastAsia"/>
              </w:rPr>
              <w:t>完成情况，包括创意性、技术性和美观性等方面进行评分</w:t>
            </w:r>
          </w:p>
        </w:tc>
        <w:tc>
          <w:tcPr>
            <w:tcW w:w="2183" w:type="dxa"/>
            <w:vAlign w:val="center"/>
          </w:tcPr>
          <w:p w14:paraId="6341D3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分</w:t>
            </w:r>
          </w:p>
        </w:tc>
      </w:tr>
      <w:tr w14:paraId="37D21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Align w:val="center"/>
          </w:tcPr>
          <w:p w14:paraId="009A12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688" w:type="dxa"/>
          </w:tcPr>
          <w:p w14:paraId="0EAC3FAC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期末考核：</w:t>
            </w:r>
            <w:r>
              <w:rPr>
                <w:rFonts w:hint="eastAsia" w:ascii="宋体" w:hAnsi="宋体"/>
                <w:sz w:val="21"/>
                <w:szCs w:val="21"/>
              </w:rPr>
              <w:t>素描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造型</w:t>
            </w:r>
            <w:r>
              <w:rPr>
                <w:rFonts w:hint="eastAsia" w:ascii="宋体" w:hAnsi="宋体"/>
                <w:sz w:val="21"/>
                <w:szCs w:val="21"/>
              </w:rPr>
              <w:t>整体完整度</w:t>
            </w:r>
          </w:p>
        </w:tc>
        <w:tc>
          <w:tcPr>
            <w:tcW w:w="2183" w:type="dxa"/>
            <w:vAlign w:val="center"/>
          </w:tcPr>
          <w:p w14:paraId="5EA501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</w:t>
            </w:r>
          </w:p>
        </w:tc>
      </w:tr>
      <w:tr w14:paraId="6896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Align w:val="center"/>
          </w:tcPr>
          <w:p w14:paraId="0EBACFD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688" w:type="dxa"/>
          </w:tcPr>
          <w:p w14:paraId="07E57360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期末考核：</w:t>
            </w:r>
            <w:r>
              <w:rPr>
                <w:rFonts w:hint="eastAsia" w:ascii="宋体" w:hAnsi="宋体" w:cs="仿宋"/>
                <w:szCs w:val="21"/>
              </w:rPr>
              <w:t>有创意，并且搭配协调。</w:t>
            </w:r>
          </w:p>
        </w:tc>
        <w:tc>
          <w:tcPr>
            <w:tcW w:w="2183" w:type="dxa"/>
            <w:vAlign w:val="center"/>
          </w:tcPr>
          <w:p w14:paraId="4881B9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分</w:t>
            </w:r>
          </w:p>
        </w:tc>
      </w:tr>
      <w:tr w14:paraId="6A09D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Align w:val="center"/>
          </w:tcPr>
          <w:p w14:paraId="7183C1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688" w:type="dxa"/>
          </w:tcPr>
          <w:p w14:paraId="3AFDE52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期末考核：</w:t>
            </w:r>
            <w:r>
              <w:rPr>
                <w:rFonts w:hint="eastAsia" w:ascii="宋体" w:hAnsi="宋体" w:cs="仿宋"/>
                <w:szCs w:val="21"/>
              </w:rPr>
              <w:t>素描明暗调子的位置得当。</w:t>
            </w:r>
          </w:p>
        </w:tc>
        <w:tc>
          <w:tcPr>
            <w:tcW w:w="2183" w:type="dxa"/>
            <w:vAlign w:val="center"/>
          </w:tcPr>
          <w:p w14:paraId="05AB35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0分</w:t>
            </w:r>
          </w:p>
        </w:tc>
      </w:tr>
    </w:tbl>
    <w:p w14:paraId="34A224FE">
      <w:pPr>
        <w:snapToGrid w:val="0"/>
        <w:spacing w:before="156" w:beforeLines="50" w:after="156" w:afterLines="50" w:line="400" w:lineRule="exact"/>
        <w:ind w:firstLine="241" w:firstLineChars="1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（三）课程资源建议</w:t>
      </w:r>
    </w:p>
    <w:p w14:paraId="602BDE86">
      <w:pPr>
        <w:snapToGrid w:val="0"/>
        <w:spacing w:line="400" w:lineRule="exact"/>
        <w:ind w:firstLine="480" w:firstLineChars="200"/>
        <w:rPr>
          <w:rFonts w:ascii="方正仿宋_GBK" w:hAnsi="Calibri" w:eastAsia="方正仿宋_GBK" w:cs="仿宋"/>
          <w:b/>
          <w:kern w:val="0"/>
          <w:sz w:val="24"/>
        </w:rPr>
      </w:pPr>
      <w:r>
        <w:rPr>
          <w:rFonts w:hint="eastAsia" w:ascii="方正仿宋_GBK" w:hAnsi="Calibri" w:eastAsia="方正仿宋_GBK" w:cs="仿宋"/>
          <w:b/>
          <w:kern w:val="0"/>
          <w:sz w:val="24"/>
        </w:rPr>
        <w:t>1</w:t>
      </w:r>
      <w:r>
        <w:rPr>
          <w:rFonts w:ascii="方正仿宋_GBK" w:hAnsi="Calibri" w:eastAsia="方正仿宋_GBK" w:cs="仿宋"/>
          <w:b/>
          <w:kern w:val="0"/>
          <w:sz w:val="24"/>
        </w:rPr>
        <w:t>.</w:t>
      </w:r>
      <w:r>
        <w:rPr>
          <w:rFonts w:hint="eastAsia" w:ascii="方正仿宋_GBK" w:hAnsi="Calibri" w:eastAsia="方正仿宋_GBK" w:cs="仿宋"/>
          <w:b/>
          <w:kern w:val="0"/>
          <w:sz w:val="24"/>
        </w:rPr>
        <w:t>课程教学团队建议</w:t>
      </w:r>
    </w:p>
    <w:p w14:paraId="4A9C0A6E">
      <w:pPr>
        <w:snapToGrid w:val="0"/>
        <w:spacing w:line="4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要求任课教师必须具有丰富的</w:t>
      </w:r>
      <w:r>
        <w:rPr>
          <w:rFonts w:hint="eastAsia" w:ascii="宋体" w:hAnsi="宋体" w:cs="宋体"/>
          <w:sz w:val="24"/>
          <w:lang w:eastAsia="zh-CN"/>
        </w:rPr>
        <w:t>设计</w:t>
      </w:r>
      <w:r>
        <w:rPr>
          <w:rFonts w:hint="eastAsia" w:ascii="宋体" w:hAnsi="宋体" w:cs="宋体"/>
          <w:sz w:val="24"/>
          <w:lang w:val="en-US" w:eastAsia="zh-CN"/>
        </w:rPr>
        <w:t>造型</w:t>
      </w:r>
      <w:r>
        <w:rPr>
          <w:rFonts w:hint="eastAsia" w:ascii="宋体" w:hAnsi="宋体" w:cs="宋体"/>
          <w:sz w:val="24"/>
        </w:rPr>
        <w:t>知识（包括理论知识和实践知识）、课程开发能力、基于学生能力培养的教学能力、为社会提供科技服务的能力等，以利于教学和课程的改革。</w:t>
      </w:r>
    </w:p>
    <w:p w14:paraId="1AECB710">
      <w:pPr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具有相关专业本科以上学历和硕士学位；并在相关企业行业岗位工作五年以上；或在相关企业行业岗位工作十五年以上，具有丰富实践经验并有</w:t>
      </w:r>
      <w:r>
        <w:rPr>
          <w:rFonts w:hint="eastAsia" w:ascii="宋体" w:hAnsi="宋体" w:cs="宋体"/>
          <w:sz w:val="24"/>
          <w:lang w:val="en-US" w:eastAsia="zh-CN"/>
        </w:rPr>
        <w:t>高</w:t>
      </w:r>
      <w:r>
        <w:rPr>
          <w:rFonts w:hint="eastAsia" w:ascii="宋体" w:hAnsi="宋体" w:cs="宋体"/>
          <w:sz w:val="24"/>
        </w:rPr>
        <w:t>级以上职业资格证书的能工巧匠。</w:t>
      </w:r>
    </w:p>
    <w:p w14:paraId="727A66A5">
      <w:pPr>
        <w:snapToGrid w:val="0"/>
        <w:spacing w:line="40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主讲教师和教学团队应爱岗敬业、乐于奉献、开拓进取、勇于接受新的教育观念，教学思想活跃。同时，授课教师应积极参与教研科研项目和社会实践，并不断将一些最新成果和实践操作引入教学中，丰富教学内容，增强学生的学习兴趣。</w:t>
      </w:r>
    </w:p>
    <w:p w14:paraId="4942A85A">
      <w:pPr>
        <w:snapToGrid w:val="0"/>
        <w:spacing w:line="400" w:lineRule="exact"/>
        <w:ind w:firstLine="480" w:firstLineChars="200"/>
        <w:rPr>
          <w:rFonts w:hint="eastAsia" w:ascii="方正仿宋_GBK" w:hAnsi="Calibri" w:eastAsia="方正仿宋_GBK" w:cs="仿宋"/>
          <w:b/>
          <w:kern w:val="0"/>
          <w:sz w:val="24"/>
        </w:rPr>
      </w:pPr>
      <w:r>
        <w:rPr>
          <w:rFonts w:hint="eastAsia" w:ascii="方正仿宋_GBK" w:hAnsi="Calibri" w:eastAsia="方正仿宋_GBK" w:cs="仿宋"/>
          <w:b/>
          <w:kern w:val="0"/>
          <w:sz w:val="24"/>
        </w:rPr>
        <w:t>2.教材的编写与选用建议</w:t>
      </w:r>
    </w:p>
    <w:p w14:paraId="67C08ED2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本课程应选用体现新技术、新工艺、新规范的高质量的国家及行业规划教材，引入生产案例的立体化的新出版的教材。</w:t>
      </w:r>
    </w:p>
    <w:p w14:paraId="2C68F1A4">
      <w:pPr>
        <w:spacing w:line="300" w:lineRule="exact"/>
        <w:ind w:firstLine="480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表5</w:t>
      </w:r>
      <w:r>
        <w:rPr>
          <w:rFonts w:ascii="宋体" w:hAnsi="宋体"/>
          <w:b/>
          <w:color w:val="FF0000"/>
          <w:szCs w:val="21"/>
        </w:rPr>
        <w:t xml:space="preserve"> </w:t>
      </w:r>
      <w:r>
        <w:rPr>
          <w:rFonts w:hint="eastAsia"/>
          <w:b/>
          <w:lang w:val="en-US" w:eastAsia="zh-CN"/>
        </w:rPr>
        <w:t>素描</w:t>
      </w:r>
      <w:r>
        <w:rPr>
          <w:rFonts w:hint="eastAsia" w:ascii="宋体" w:hAnsi="宋体"/>
          <w:b/>
          <w:szCs w:val="21"/>
        </w:rPr>
        <w:t>课程教材选用表</w:t>
      </w:r>
    </w:p>
    <w:p w14:paraId="1D6E3FF4">
      <w:pPr>
        <w:spacing w:line="300" w:lineRule="exact"/>
        <w:ind w:firstLine="480"/>
        <w:jc w:val="center"/>
        <w:rPr>
          <w:rFonts w:hint="eastAsia" w:ascii="宋体"/>
          <w:b/>
          <w:szCs w:val="21"/>
        </w:rPr>
      </w:pP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976"/>
        <w:gridCol w:w="2175"/>
        <w:gridCol w:w="1717"/>
        <w:gridCol w:w="936"/>
        <w:gridCol w:w="1276"/>
      </w:tblGrid>
      <w:tr w14:paraId="7253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609EBEC0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976" w:type="dxa"/>
          </w:tcPr>
          <w:p w14:paraId="6EDCC29E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教材名称</w:t>
            </w:r>
          </w:p>
        </w:tc>
        <w:tc>
          <w:tcPr>
            <w:tcW w:w="2175" w:type="dxa"/>
          </w:tcPr>
          <w:p w14:paraId="1D7BB5FA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教材类型</w:t>
            </w:r>
          </w:p>
        </w:tc>
        <w:tc>
          <w:tcPr>
            <w:tcW w:w="1717" w:type="dxa"/>
          </w:tcPr>
          <w:p w14:paraId="560F1B97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出版社</w:t>
            </w:r>
          </w:p>
        </w:tc>
        <w:tc>
          <w:tcPr>
            <w:tcW w:w="936" w:type="dxa"/>
          </w:tcPr>
          <w:p w14:paraId="7D929C13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主编</w:t>
            </w:r>
          </w:p>
        </w:tc>
        <w:tc>
          <w:tcPr>
            <w:tcW w:w="1276" w:type="dxa"/>
          </w:tcPr>
          <w:p w14:paraId="633E5723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出版日期</w:t>
            </w:r>
          </w:p>
        </w:tc>
      </w:tr>
      <w:tr w14:paraId="64815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485DBF97">
            <w:pPr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 w14:paraId="3E3247A1">
            <w:pPr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素描基础</w:t>
            </w:r>
          </w:p>
        </w:tc>
        <w:tc>
          <w:tcPr>
            <w:tcW w:w="2175" w:type="dxa"/>
            <w:vAlign w:val="top"/>
          </w:tcPr>
          <w:p w14:paraId="24CB6694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全国高等院校设计类“十三五”规划教材</w:t>
            </w:r>
          </w:p>
        </w:tc>
        <w:tc>
          <w:tcPr>
            <w:tcW w:w="1717" w:type="dxa"/>
            <w:vAlign w:val="top"/>
          </w:tcPr>
          <w:p w14:paraId="21E39CAC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华中科技大学出版社</w:t>
            </w:r>
          </w:p>
        </w:tc>
        <w:tc>
          <w:tcPr>
            <w:tcW w:w="936" w:type="dxa"/>
            <w:vAlign w:val="top"/>
          </w:tcPr>
          <w:p w14:paraId="04ADCC55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赵云</w:t>
            </w:r>
          </w:p>
        </w:tc>
        <w:tc>
          <w:tcPr>
            <w:tcW w:w="1276" w:type="dxa"/>
            <w:vAlign w:val="top"/>
          </w:tcPr>
          <w:p w14:paraId="76FD7943">
            <w:pPr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ascii="宋体" w:hAnsi="宋体"/>
                <w:kern w:val="0"/>
                <w:sz w:val="20"/>
                <w:szCs w:val="21"/>
              </w:rPr>
              <w:t>016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年7月1日</w:t>
            </w:r>
          </w:p>
        </w:tc>
      </w:tr>
      <w:tr w14:paraId="1E89A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11E148C">
            <w:pPr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 w14:paraId="3A1A25F0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素描</w:t>
            </w:r>
          </w:p>
        </w:tc>
        <w:tc>
          <w:tcPr>
            <w:tcW w:w="2175" w:type="dxa"/>
            <w:vAlign w:val="top"/>
          </w:tcPr>
          <w:p w14:paraId="1D223494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安徽省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“十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五”</w:t>
            </w:r>
            <w:r>
              <w:rPr>
                <w:rFonts w:ascii="宋体" w:hAnsi="宋体"/>
                <w:kern w:val="0"/>
                <w:sz w:val="20"/>
                <w:szCs w:val="21"/>
              </w:rPr>
              <w:t>规划教材</w:t>
            </w:r>
          </w:p>
        </w:tc>
        <w:tc>
          <w:tcPr>
            <w:tcW w:w="1717" w:type="dxa"/>
            <w:vAlign w:val="top"/>
          </w:tcPr>
          <w:p w14:paraId="651B7519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上海交通大学</w:t>
            </w:r>
            <w:r>
              <w:rPr>
                <w:rFonts w:ascii="宋体" w:hAnsi="宋体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936" w:type="dxa"/>
            <w:vAlign w:val="top"/>
          </w:tcPr>
          <w:p w14:paraId="2C098F4E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fldChar w:fldCharType="begin"/>
            </w:r>
            <w:r>
              <w:instrText xml:space="preserve"> HYPERLINK "https://www.amazon.cn/s/ref=dp_byline_sr_book_1?ie=UTF8&amp;field-author=%E7%8E%8B%E5%88%A9&amp;search-alias=books" </w:instrText>
            </w:r>
            <w:r>
              <w:fldChar w:fldCharType="separate"/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马幼梅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fldChar w:fldCharType="end"/>
            </w:r>
          </w:p>
        </w:tc>
        <w:tc>
          <w:tcPr>
            <w:tcW w:w="1276" w:type="dxa"/>
            <w:vAlign w:val="top"/>
          </w:tcPr>
          <w:p w14:paraId="3B4EBBD7">
            <w:pPr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 w:val="20"/>
                <w:szCs w:val="21"/>
              </w:rPr>
              <w:t>20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24</w:t>
            </w:r>
            <w:r>
              <w:rPr>
                <w:rFonts w:ascii="宋体" w:hAnsi="宋体"/>
                <w:kern w:val="0"/>
                <w:sz w:val="20"/>
                <w:szCs w:val="21"/>
              </w:rPr>
              <w:t>年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9</w:t>
            </w:r>
            <w:r>
              <w:rPr>
                <w:rFonts w:ascii="宋体" w:hAnsi="宋体"/>
                <w:kern w:val="0"/>
                <w:sz w:val="20"/>
                <w:szCs w:val="21"/>
              </w:rPr>
              <w:t>月1日</w:t>
            </w:r>
          </w:p>
        </w:tc>
      </w:tr>
      <w:tr w14:paraId="32D23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68BC410">
            <w:pPr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 w14:paraId="2599BE5B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素描基础教程</w:t>
            </w:r>
          </w:p>
        </w:tc>
        <w:tc>
          <w:tcPr>
            <w:tcW w:w="2175" w:type="dxa"/>
            <w:vAlign w:val="top"/>
          </w:tcPr>
          <w:p w14:paraId="0A98ADB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其他</w:t>
            </w:r>
          </w:p>
        </w:tc>
        <w:tc>
          <w:tcPr>
            <w:tcW w:w="1717" w:type="dxa"/>
            <w:vAlign w:val="top"/>
          </w:tcPr>
          <w:p w14:paraId="79DF8AE9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kern w:val="0"/>
                <w:sz w:val="20"/>
                <w:szCs w:val="21"/>
              </w:rPr>
              <w:t>电子工业出版社</w:t>
            </w:r>
          </w:p>
        </w:tc>
        <w:tc>
          <w:tcPr>
            <w:tcW w:w="936" w:type="dxa"/>
            <w:vAlign w:val="top"/>
          </w:tcPr>
          <w:p w14:paraId="007B0922"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杨蓉芳</w:t>
            </w:r>
          </w:p>
        </w:tc>
        <w:tc>
          <w:tcPr>
            <w:tcW w:w="1276" w:type="dxa"/>
            <w:vAlign w:val="top"/>
          </w:tcPr>
          <w:p w14:paraId="00849950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ascii="宋体" w:hAnsi="宋体"/>
                <w:kern w:val="0"/>
                <w:sz w:val="20"/>
                <w:szCs w:val="21"/>
              </w:rPr>
              <w:t>017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年1</w:t>
            </w:r>
            <w:r>
              <w:rPr>
                <w:rFonts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月1日</w:t>
            </w:r>
          </w:p>
        </w:tc>
      </w:tr>
    </w:tbl>
    <w:p w14:paraId="03B39888">
      <w:pPr>
        <w:snapToGrid w:val="0"/>
        <w:spacing w:line="400" w:lineRule="exact"/>
        <w:ind w:firstLine="480" w:firstLineChars="200"/>
        <w:rPr>
          <w:rFonts w:ascii="方正仿宋_GBK" w:hAnsi="Calibri" w:eastAsia="方正仿宋_GBK" w:cs="仿宋"/>
          <w:b/>
          <w:kern w:val="0"/>
          <w:sz w:val="24"/>
        </w:rPr>
      </w:pPr>
      <w:r>
        <w:rPr>
          <w:rFonts w:hint="eastAsia" w:ascii="方正仿宋_GBK" w:hAnsi="Calibri" w:eastAsia="方正仿宋_GBK" w:cs="仿宋"/>
          <w:b/>
          <w:kern w:val="0"/>
          <w:sz w:val="24"/>
        </w:rPr>
        <w:t>3</w:t>
      </w:r>
      <w:r>
        <w:rPr>
          <w:rFonts w:ascii="方正仿宋_GBK" w:hAnsi="Calibri" w:eastAsia="方正仿宋_GBK" w:cs="仿宋"/>
          <w:b/>
          <w:kern w:val="0"/>
          <w:sz w:val="24"/>
        </w:rPr>
        <w:t>.</w:t>
      </w:r>
      <w:r>
        <w:rPr>
          <w:rFonts w:hint="eastAsia" w:ascii="方正仿宋_GBK" w:hAnsi="Calibri" w:eastAsia="方正仿宋_GBK" w:cs="仿宋"/>
          <w:b/>
          <w:kern w:val="0"/>
          <w:sz w:val="24"/>
        </w:rPr>
        <w:t>校内外实践教学条件建议</w:t>
      </w:r>
    </w:p>
    <w:p w14:paraId="61FD505D">
      <w:pPr>
        <w:snapToGrid w:val="0"/>
        <w:spacing w:line="4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校企合作开发实验实训课程资源，充分利用企业资源，进行产学合作，建立实习实训基地，实施工学结合，满足实践项目教学的需要。</w:t>
      </w:r>
    </w:p>
    <w:p w14:paraId="1C844322">
      <w:pPr>
        <w:snapToGrid w:val="0"/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（1）校内实训室</w:t>
      </w:r>
    </w:p>
    <w:p w14:paraId="4427CD5B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2．实践教学条件要求</w:t>
      </w:r>
    </w:p>
    <w:p w14:paraId="45A62CE4">
      <w:pPr>
        <w:numPr>
          <w:ilvl w:val="0"/>
          <w:numId w:val="2"/>
        </w:num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校内实训室</w:t>
      </w:r>
    </w:p>
    <w:p w14:paraId="4DBEF24A">
      <w:pPr>
        <w:ind w:firstLine="435"/>
        <w:jc w:val="center"/>
        <w:rPr>
          <w:b/>
        </w:rPr>
      </w:pPr>
      <w:r>
        <w:rPr>
          <w:rFonts w:hint="eastAsia"/>
          <w:b/>
        </w:rPr>
        <w:t>表6  素描造型实训室</w:t>
      </w:r>
    </w:p>
    <w:p w14:paraId="0BF7DCB3">
      <w:pPr>
        <w:ind w:firstLine="435"/>
        <w:jc w:val="center"/>
      </w:pPr>
    </w:p>
    <w:tbl>
      <w:tblPr>
        <w:tblStyle w:val="8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51"/>
        <w:gridCol w:w="2279"/>
        <w:gridCol w:w="2279"/>
        <w:gridCol w:w="2280"/>
      </w:tblGrid>
      <w:tr w14:paraId="0D766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9" w:type="dxa"/>
            <w:gridSpan w:val="2"/>
          </w:tcPr>
          <w:p w14:paraId="5BE72C8D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实训室名称</w:t>
            </w:r>
          </w:p>
        </w:tc>
        <w:tc>
          <w:tcPr>
            <w:tcW w:w="2279" w:type="dxa"/>
          </w:tcPr>
          <w:p w14:paraId="1CD96027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</w:rPr>
              <w:t>素描造型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实训室</w:t>
            </w:r>
          </w:p>
        </w:tc>
        <w:tc>
          <w:tcPr>
            <w:tcW w:w="2279" w:type="dxa"/>
          </w:tcPr>
          <w:p w14:paraId="5337B955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面积要求</w:t>
            </w:r>
          </w:p>
        </w:tc>
        <w:tc>
          <w:tcPr>
            <w:tcW w:w="2280" w:type="dxa"/>
          </w:tcPr>
          <w:p w14:paraId="28EBB7FA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/>
                <w:kern w:val="0"/>
                <w:sz w:val="20"/>
                <w:szCs w:val="21"/>
              </w:rPr>
              <w:t>8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0m2</w:t>
            </w:r>
          </w:p>
        </w:tc>
      </w:tr>
      <w:tr w14:paraId="04C32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19DB8AE6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序号</w:t>
            </w:r>
          </w:p>
        </w:tc>
        <w:tc>
          <w:tcPr>
            <w:tcW w:w="3730" w:type="dxa"/>
            <w:gridSpan w:val="2"/>
          </w:tcPr>
          <w:p w14:paraId="4F254B25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核心设备</w:t>
            </w:r>
          </w:p>
        </w:tc>
        <w:tc>
          <w:tcPr>
            <w:tcW w:w="2279" w:type="dxa"/>
          </w:tcPr>
          <w:p w14:paraId="384601E0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数量要求</w:t>
            </w:r>
          </w:p>
        </w:tc>
        <w:tc>
          <w:tcPr>
            <w:tcW w:w="2280" w:type="dxa"/>
          </w:tcPr>
          <w:p w14:paraId="62CD4F5C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备注</w:t>
            </w:r>
          </w:p>
        </w:tc>
      </w:tr>
      <w:tr w14:paraId="3B62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3286F17A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1</w:t>
            </w:r>
          </w:p>
        </w:tc>
        <w:tc>
          <w:tcPr>
            <w:tcW w:w="3730" w:type="dxa"/>
            <w:gridSpan w:val="2"/>
          </w:tcPr>
          <w:p w14:paraId="64052D13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画板</w:t>
            </w:r>
          </w:p>
        </w:tc>
        <w:tc>
          <w:tcPr>
            <w:tcW w:w="2279" w:type="dxa"/>
          </w:tcPr>
          <w:p w14:paraId="46808E93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40</w:t>
            </w:r>
          </w:p>
        </w:tc>
        <w:tc>
          <w:tcPr>
            <w:tcW w:w="2280" w:type="dxa"/>
          </w:tcPr>
          <w:p w14:paraId="4662F2B6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</w:tr>
      <w:tr w14:paraId="1401F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7E0487FA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</w:p>
        </w:tc>
        <w:tc>
          <w:tcPr>
            <w:tcW w:w="3730" w:type="dxa"/>
            <w:gridSpan w:val="2"/>
          </w:tcPr>
          <w:p w14:paraId="7E16A404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静物</w:t>
            </w:r>
          </w:p>
        </w:tc>
        <w:tc>
          <w:tcPr>
            <w:tcW w:w="2279" w:type="dxa"/>
          </w:tcPr>
          <w:p w14:paraId="0C5EA7CC">
            <w:pPr>
              <w:spacing w:line="300" w:lineRule="exact"/>
              <w:jc w:val="center"/>
              <w:rPr>
                <w:rFonts w:hint="default" w:ascii="宋体" w:hAnsi="宋体" w:eastAsiaTheme="minorEastAsia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20</w:t>
            </w:r>
          </w:p>
        </w:tc>
        <w:tc>
          <w:tcPr>
            <w:tcW w:w="2280" w:type="dxa"/>
          </w:tcPr>
          <w:p w14:paraId="60C9557C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</w:tr>
      <w:tr w14:paraId="222D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7B38F2FB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3</w:t>
            </w:r>
          </w:p>
        </w:tc>
        <w:tc>
          <w:tcPr>
            <w:tcW w:w="3730" w:type="dxa"/>
            <w:gridSpan w:val="2"/>
          </w:tcPr>
          <w:p w14:paraId="37E268C4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石膏几何体</w:t>
            </w:r>
          </w:p>
        </w:tc>
        <w:tc>
          <w:tcPr>
            <w:tcW w:w="2279" w:type="dxa"/>
          </w:tcPr>
          <w:p w14:paraId="759E1D36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20</w:t>
            </w:r>
          </w:p>
        </w:tc>
        <w:tc>
          <w:tcPr>
            <w:tcW w:w="2280" w:type="dxa"/>
          </w:tcPr>
          <w:p w14:paraId="0087E391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</w:tr>
      <w:tr w14:paraId="284BB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4A3C1F8A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4</w:t>
            </w:r>
          </w:p>
        </w:tc>
        <w:tc>
          <w:tcPr>
            <w:tcW w:w="3730" w:type="dxa"/>
            <w:gridSpan w:val="2"/>
          </w:tcPr>
          <w:p w14:paraId="088DEED6">
            <w:pPr>
              <w:spacing w:line="300" w:lineRule="exact"/>
              <w:jc w:val="center"/>
              <w:rPr>
                <w:rFonts w:hint="eastAsia" w:ascii="宋体" w:hAnsi="宋体" w:eastAsiaTheme="minorEastAsia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石膏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像</w:t>
            </w:r>
          </w:p>
        </w:tc>
        <w:tc>
          <w:tcPr>
            <w:tcW w:w="2279" w:type="dxa"/>
          </w:tcPr>
          <w:p w14:paraId="7C891699">
            <w:pPr>
              <w:spacing w:line="300" w:lineRule="exact"/>
              <w:jc w:val="center"/>
              <w:rPr>
                <w:rFonts w:hint="default" w:ascii="宋体" w:hAnsi="宋体" w:eastAsiaTheme="minorEastAsia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20</w:t>
            </w:r>
          </w:p>
        </w:tc>
        <w:tc>
          <w:tcPr>
            <w:tcW w:w="2280" w:type="dxa"/>
          </w:tcPr>
          <w:p w14:paraId="4B12D718">
            <w:pPr>
              <w:spacing w:line="300" w:lineRule="exact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</w:tr>
    </w:tbl>
    <w:p w14:paraId="6C95C832">
      <w:pPr>
        <w:spacing w:line="360" w:lineRule="auto"/>
        <w:ind w:firstLine="435"/>
        <w:rPr>
          <w:sz w:val="24"/>
        </w:rPr>
      </w:pPr>
    </w:p>
    <w:p w14:paraId="41A98F07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（2）校外实习基地</w:t>
      </w:r>
    </w:p>
    <w:p w14:paraId="09654463">
      <w:pPr>
        <w:ind w:firstLine="435"/>
        <w:jc w:val="center"/>
        <w:rPr>
          <w:b/>
        </w:rPr>
      </w:pPr>
      <w:r>
        <w:rPr>
          <w:rFonts w:hint="eastAsia"/>
          <w:b/>
        </w:rPr>
        <w:t>表7课程校外实习基地</w:t>
      </w:r>
    </w:p>
    <w:p w14:paraId="16E05FB0">
      <w:pPr>
        <w:ind w:firstLine="435"/>
        <w:jc w:val="center"/>
        <w:rPr>
          <w:b/>
        </w:rPr>
      </w:pPr>
    </w:p>
    <w:tbl>
      <w:tblPr>
        <w:tblStyle w:val="8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638"/>
        <w:gridCol w:w="1823"/>
        <w:gridCol w:w="1824"/>
        <w:gridCol w:w="1824"/>
      </w:tblGrid>
      <w:tr w14:paraId="37E5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EAFE8D7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序号</w:t>
            </w:r>
          </w:p>
        </w:tc>
        <w:tc>
          <w:tcPr>
            <w:tcW w:w="2638" w:type="dxa"/>
          </w:tcPr>
          <w:p w14:paraId="30A32B1A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校外实习基地名称</w:t>
            </w:r>
          </w:p>
        </w:tc>
        <w:tc>
          <w:tcPr>
            <w:tcW w:w="1823" w:type="dxa"/>
          </w:tcPr>
          <w:p w14:paraId="6357F935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合作企业名称</w:t>
            </w:r>
          </w:p>
        </w:tc>
        <w:tc>
          <w:tcPr>
            <w:tcW w:w="1824" w:type="dxa"/>
          </w:tcPr>
          <w:p w14:paraId="1C839FFC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用途</w:t>
            </w:r>
          </w:p>
        </w:tc>
        <w:tc>
          <w:tcPr>
            <w:tcW w:w="1824" w:type="dxa"/>
          </w:tcPr>
          <w:p w14:paraId="2CFF1DCA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合作深度要求</w:t>
            </w:r>
          </w:p>
        </w:tc>
      </w:tr>
      <w:tr w14:paraId="717B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333CAB76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1</w:t>
            </w:r>
          </w:p>
        </w:tc>
        <w:tc>
          <w:tcPr>
            <w:tcW w:w="2638" w:type="dxa"/>
          </w:tcPr>
          <w:p w14:paraId="049E4712">
            <w:r>
              <w:rPr>
                <w:rFonts w:hint="eastAsia"/>
              </w:rPr>
              <w:t>黟县宏村写生基地</w:t>
            </w:r>
          </w:p>
        </w:tc>
        <w:tc>
          <w:tcPr>
            <w:tcW w:w="1823" w:type="dxa"/>
          </w:tcPr>
          <w:p w14:paraId="3C345DEF">
            <w:r>
              <w:rPr>
                <w:rFonts w:hint="eastAsia"/>
              </w:rPr>
              <w:t>黟县浔阳饭店</w:t>
            </w:r>
          </w:p>
        </w:tc>
        <w:tc>
          <w:tcPr>
            <w:tcW w:w="1824" w:type="dxa"/>
          </w:tcPr>
          <w:p w14:paraId="3A39F86D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造型写生训练</w:t>
            </w:r>
          </w:p>
        </w:tc>
        <w:tc>
          <w:tcPr>
            <w:tcW w:w="1824" w:type="dxa"/>
          </w:tcPr>
          <w:p w14:paraId="51731F0A">
            <w:r>
              <w:rPr>
                <w:rFonts w:hint="eastAsia"/>
              </w:rPr>
              <w:t>深度合作型</w:t>
            </w:r>
          </w:p>
        </w:tc>
      </w:tr>
      <w:tr w14:paraId="3BF7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68CF4A14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</w:p>
        </w:tc>
        <w:tc>
          <w:tcPr>
            <w:tcW w:w="2638" w:type="dxa"/>
          </w:tcPr>
          <w:p w14:paraId="58BA355F">
            <w:r>
              <w:rPr>
                <w:rFonts w:hint="eastAsia"/>
              </w:rPr>
              <w:t>黟县西递写生基地</w:t>
            </w:r>
          </w:p>
        </w:tc>
        <w:tc>
          <w:tcPr>
            <w:tcW w:w="1823" w:type="dxa"/>
          </w:tcPr>
          <w:p w14:paraId="1243D092">
            <w:r>
              <w:rPr>
                <w:rFonts w:hint="eastAsia"/>
              </w:rPr>
              <w:t>黟县浔阳饭店</w:t>
            </w:r>
          </w:p>
        </w:tc>
        <w:tc>
          <w:tcPr>
            <w:tcW w:w="1824" w:type="dxa"/>
          </w:tcPr>
          <w:p w14:paraId="3246CBC6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造型写生训练</w:t>
            </w:r>
          </w:p>
        </w:tc>
        <w:tc>
          <w:tcPr>
            <w:tcW w:w="1824" w:type="dxa"/>
          </w:tcPr>
          <w:p w14:paraId="48F008B6">
            <w:r>
              <w:rPr>
                <w:rFonts w:hint="eastAsia"/>
              </w:rPr>
              <w:t>深度合作型</w:t>
            </w:r>
          </w:p>
        </w:tc>
      </w:tr>
      <w:tr w14:paraId="02D7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76AA852A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3</w:t>
            </w:r>
          </w:p>
        </w:tc>
        <w:tc>
          <w:tcPr>
            <w:tcW w:w="2638" w:type="dxa"/>
          </w:tcPr>
          <w:p w14:paraId="5A6C676B">
            <w:r>
              <w:rPr>
                <w:rFonts w:hint="eastAsia"/>
              </w:rPr>
              <w:t>黟县屏山写生基地</w:t>
            </w:r>
          </w:p>
        </w:tc>
        <w:tc>
          <w:tcPr>
            <w:tcW w:w="1823" w:type="dxa"/>
          </w:tcPr>
          <w:p w14:paraId="3FA025CD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书画小镇</w:t>
            </w:r>
          </w:p>
        </w:tc>
        <w:tc>
          <w:tcPr>
            <w:tcW w:w="1824" w:type="dxa"/>
          </w:tcPr>
          <w:p w14:paraId="6F5169F3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造型写生训练</w:t>
            </w:r>
          </w:p>
        </w:tc>
        <w:tc>
          <w:tcPr>
            <w:tcW w:w="1824" w:type="dxa"/>
          </w:tcPr>
          <w:p w14:paraId="0C6079A5">
            <w:r>
              <w:rPr>
                <w:rFonts w:hint="eastAsia"/>
              </w:rPr>
              <w:t>深度合作型</w:t>
            </w:r>
          </w:p>
        </w:tc>
      </w:tr>
      <w:tr w14:paraId="1091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00F967B3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4</w:t>
            </w:r>
          </w:p>
        </w:tc>
        <w:tc>
          <w:tcPr>
            <w:tcW w:w="2638" w:type="dxa"/>
          </w:tcPr>
          <w:p w14:paraId="341B6FBB">
            <w:r>
              <w:rPr>
                <w:rFonts w:hint="eastAsia"/>
              </w:rPr>
              <w:t>黟县南屏写生基地</w:t>
            </w:r>
          </w:p>
        </w:tc>
        <w:tc>
          <w:tcPr>
            <w:tcW w:w="1823" w:type="dxa"/>
          </w:tcPr>
          <w:p w14:paraId="63E259E5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书画小镇</w:t>
            </w:r>
          </w:p>
        </w:tc>
        <w:tc>
          <w:tcPr>
            <w:tcW w:w="1824" w:type="dxa"/>
          </w:tcPr>
          <w:p w14:paraId="7B4A7C30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造型写生训练</w:t>
            </w:r>
          </w:p>
        </w:tc>
        <w:tc>
          <w:tcPr>
            <w:tcW w:w="1824" w:type="dxa"/>
          </w:tcPr>
          <w:p w14:paraId="7334B8BA">
            <w:r>
              <w:rPr>
                <w:rFonts w:hint="eastAsia"/>
              </w:rPr>
              <w:t>深度合作型</w:t>
            </w:r>
          </w:p>
        </w:tc>
      </w:tr>
      <w:tr w14:paraId="106B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6531182D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5</w:t>
            </w:r>
          </w:p>
        </w:tc>
        <w:tc>
          <w:tcPr>
            <w:tcW w:w="2638" w:type="dxa"/>
          </w:tcPr>
          <w:p w14:paraId="66EC53FF">
            <w:r>
              <w:rPr>
                <w:rFonts w:hint="eastAsia"/>
              </w:rPr>
              <w:t>泾县查济写生基地</w:t>
            </w:r>
          </w:p>
        </w:tc>
        <w:tc>
          <w:tcPr>
            <w:tcW w:w="1823" w:type="dxa"/>
          </w:tcPr>
          <w:p w14:paraId="32B8C22A">
            <w:r>
              <w:rPr>
                <w:rFonts w:hint="eastAsia"/>
              </w:rPr>
              <w:t>泾县钟秀饭店</w:t>
            </w:r>
          </w:p>
        </w:tc>
        <w:tc>
          <w:tcPr>
            <w:tcW w:w="1824" w:type="dxa"/>
          </w:tcPr>
          <w:p w14:paraId="63A6A0B7"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造型写生训练</w:t>
            </w:r>
          </w:p>
        </w:tc>
        <w:tc>
          <w:tcPr>
            <w:tcW w:w="1824" w:type="dxa"/>
          </w:tcPr>
          <w:p w14:paraId="011EF8B9">
            <w:r>
              <w:rPr>
                <w:rFonts w:hint="eastAsia"/>
              </w:rPr>
              <w:t>深度合作型</w:t>
            </w:r>
          </w:p>
        </w:tc>
      </w:tr>
    </w:tbl>
    <w:p w14:paraId="1F5421BE">
      <w:pPr>
        <w:snapToGrid w:val="0"/>
        <w:spacing w:line="400" w:lineRule="exact"/>
        <w:ind w:firstLine="480" w:firstLineChars="200"/>
        <w:rPr>
          <w:rFonts w:ascii="方正仿宋_GBK" w:hAnsi="Calibri" w:eastAsia="方正仿宋_GBK" w:cs="仿宋"/>
          <w:b/>
          <w:kern w:val="0"/>
          <w:sz w:val="24"/>
        </w:rPr>
      </w:pPr>
      <w:r>
        <w:rPr>
          <w:rFonts w:ascii="方正仿宋_GBK" w:hAnsi="Calibri" w:eastAsia="方正仿宋_GBK" w:cs="仿宋"/>
          <w:b/>
          <w:kern w:val="0"/>
          <w:sz w:val="24"/>
        </w:rPr>
        <w:t>4</w:t>
      </w:r>
      <w:r>
        <w:rPr>
          <w:rFonts w:hint="eastAsia" w:ascii="方正仿宋_GBK" w:hAnsi="Calibri" w:eastAsia="方正仿宋_GBK" w:cs="仿宋"/>
          <w:b/>
          <w:kern w:val="0"/>
          <w:sz w:val="24"/>
        </w:rPr>
        <w:t>.其它课程资源建议</w:t>
      </w:r>
    </w:p>
    <w:p w14:paraId="7037EF7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注重课程资源和现代化教学资源的开发和利用，建立多媒体课程资源的数据库，努力实现跨学校多媒体资源的共享，以提高课程资源利用效率。</w:t>
      </w:r>
    </w:p>
    <w:p w14:paraId="184A0EB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积极开发和利用网络课程资源，充分利用诸如电子书籍、电子期刊、数据库、数字图书馆、教育网站和电子论坛等网上信息资源，使教学从单一媒体向多种媒体转变，教学活动从信息的单向传递向双向交换转变，学生单独学习向合作学习转变。</w:t>
      </w:r>
    </w:p>
    <w:p w14:paraId="35B4C304">
      <w:pPr>
        <w:spacing w:line="300" w:lineRule="exact"/>
        <w:ind w:firstLine="48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表</w:t>
      </w:r>
      <w:r>
        <w:rPr>
          <w:rFonts w:hint="eastAsia" w:ascii="宋体" w:hAnsi="宋体"/>
          <w:b/>
          <w:szCs w:val="21"/>
          <w:lang w:val="en-US" w:eastAsia="zh-CN"/>
        </w:rPr>
        <w:t>8</w:t>
      </w:r>
      <w:r>
        <w:rPr>
          <w:rFonts w:hint="eastAsia" w:ascii="宋体" w:hAnsi="宋体"/>
          <w:b/>
          <w:szCs w:val="21"/>
        </w:rPr>
        <w:t xml:space="preserve"> 素描课程参考教材选用表</w:t>
      </w:r>
    </w:p>
    <w:p w14:paraId="3EA7A802">
      <w:pPr>
        <w:spacing w:line="300" w:lineRule="exact"/>
        <w:ind w:firstLine="480"/>
        <w:jc w:val="center"/>
        <w:rPr>
          <w:rFonts w:ascii="宋体" w:hAnsi="宋体"/>
          <w:b/>
          <w:szCs w:val="21"/>
        </w:rPr>
      </w:pPr>
    </w:p>
    <w:tbl>
      <w:tblPr>
        <w:tblStyle w:val="8"/>
        <w:tblW w:w="9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474"/>
        <w:gridCol w:w="2617"/>
        <w:gridCol w:w="1667"/>
        <w:gridCol w:w="894"/>
        <w:gridCol w:w="1768"/>
      </w:tblGrid>
      <w:tr w14:paraId="7B27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</w:tcPr>
          <w:p w14:paraId="1C9D33A3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序号</w:t>
            </w:r>
          </w:p>
        </w:tc>
        <w:tc>
          <w:tcPr>
            <w:tcW w:w="1474" w:type="dxa"/>
          </w:tcPr>
          <w:p w14:paraId="08057CCF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2617" w:type="dxa"/>
          </w:tcPr>
          <w:p w14:paraId="441BBD48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教材类型</w:t>
            </w:r>
          </w:p>
        </w:tc>
        <w:tc>
          <w:tcPr>
            <w:tcW w:w="1667" w:type="dxa"/>
          </w:tcPr>
          <w:p w14:paraId="2EF70158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894" w:type="dxa"/>
          </w:tcPr>
          <w:p w14:paraId="2D1D4771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主编</w:t>
            </w:r>
          </w:p>
        </w:tc>
        <w:tc>
          <w:tcPr>
            <w:tcW w:w="1768" w:type="dxa"/>
          </w:tcPr>
          <w:p w14:paraId="389FF135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出版日期</w:t>
            </w:r>
          </w:p>
        </w:tc>
      </w:tr>
      <w:tr w14:paraId="0C22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</w:tcPr>
          <w:p w14:paraId="40269637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1</w:t>
            </w:r>
          </w:p>
        </w:tc>
        <w:tc>
          <w:tcPr>
            <w:tcW w:w="1474" w:type="dxa"/>
          </w:tcPr>
          <w:p w14:paraId="6F5C3BF4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素描</w:t>
            </w:r>
          </w:p>
        </w:tc>
        <w:tc>
          <w:tcPr>
            <w:tcW w:w="2617" w:type="dxa"/>
          </w:tcPr>
          <w:p w14:paraId="0C76FE3A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安徽省“十四五”</w:t>
            </w:r>
            <w:r>
              <w:rPr>
                <w:rFonts w:ascii="宋体" w:hAnsi="宋体"/>
                <w:kern w:val="0"/>
                <w:sz w:val="20"/>
                <w:szCs w:val="21"/>
              </w:rPr>
              <w:t>规划教材</w:t>
            </w:r>
          </w:p>
        </w:tc>
        <w:tc>
          <w:tcPr>
            <w:tcW w:w="1667" w:type="dxa"/>
          </w:tcPr>
          <w:p w14:paraId="611FA5D9">
            <w:pPr>
              <w:jc w:val="both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上海交通大学</w:t>
            </w:r>
            <w:r>
              <w:rPr>
                <w:rFonts w:ascii="宋体" w:hAnsi="宋体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894" w:type="dxa"/>
          </w:tcPr>
          <w:p w14:paraId="55A245B2">
            <w:pPr>
              <w:jc w:val="both"/>
              <w:rPr>
                <w:rFonts w:ascii="宋体" w:hAnsi="宋体"/>
                <w:kern w:val="0"/>
                <w:sz w:val="20"/>
                <w:szCs w:val="21"/>
              </w:rPr>
            </w:pPr>
            <w:r>
              <w:fldChar w:fldCharType="begin"/>
            </w:r>
            <w:r>
              <w:instrText xml:space="preserve"> HYPERLINK "https://www.amazon.cn/s/ref=dp_byline_sr_book_1?ie=UTF8&amp;field-author=%E7%8E%8B%E5%88%A9&amp;search-alias=books" </w:instrText>
            </w:r>
            <w:r>
              <w:fldChar w:fldCharType="separate"/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马幼梅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fldChar w:fldCharType="end"/>
            </w:r>
          </w:p>
        </w:tc>
        <w:tc>
          <w:tcPr>
            <w:tcW w:w="1768" w:type="dxa"/>
          </w:tcPr>
          <w:p w14:paraId="30D374DC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/>
                <w:kern w:val="0"/>
                <w:sz w:val="20"/>
                <w:szCs w:val="21"/>
              </w:rPr>
              <w:t>20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24</w:t>
            </w:r>
            <w:r>
              <w:rPr>
                <w:rFonts w:ascii="宋体" w:hAnsi="宋体"/>
                <w:kern w:val="0"/>
                <w:sz w:val="20"/>
                <w:szCs w:val="21"/>
              </w:rPr>
              <w:t>年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9</w:t>
            </w:r>
            <w:r>
              <w:rPr>
                <w:rFonts w:ascii="宋体" w:hAnsi="宋体"/>
                <w:kern w:val="0"/>
                <w:sz w:val="20"/>
                <w:szCs w:val="21"/>
              </w:rPr>
              <w:t>月1日</w:t>
            </w:r>
          </w:p>
        </w:tc>
      </w:tr>
      <w:tr w14:paraId="3ECB6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</w:tcPr>
          <w:p w14:paraId="11602558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</w:p>
        </w:tc>
        <w:tc>
          <w:tcPr>
            <w:tcW w:w="1474" w:type="dxa"/>
          </w:tcPr>
          <w:p w14:paraId="796EBC16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素描基础</w:t>
            </w:r>
          </w:p>
        </w:tc>
        <w:tc>
          <w:tcPr>
            <w:tcW w:w="2617" w:type="dxa"/>
          </w:tcPr>
          <w:p w14:paraId="4873E31C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全国高等院校设计类“十三五”规划教材</w:t>
            </w:r>
          </w:p>
        </w:tc>
        <w:tc>
          <w:tcPr>
            <w:tcW w:w="1667" w:type="dxa"/>
          </w:tcPr>
          <w:p w14:paraId="76D15BC7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华中科技大学出版社</w:t>
            </w:r>
          </w:p>
        </w:tc>
        <w:tc>
          <w:tcPr>
            <w:tcW w:w="894" w:type="dxa"/>
          </w:tcPr>
          <w:p w14:paraId="7F4CA427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赵云</w:t>
            </w:r>
          </w:p>
        </w:tc>
        <w:tc>
          <w:tcPr>
            <w:tcW w:w="1768" w:type="dxa"/>
          </w:tcPr>
          <w:p w14:paraId="5B7236D7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ascii="宋体" w:hAnsi="宋体"/>
                <w:kern w:val="0"/>
                <w:sz w:val="20"/>
                <w:szCs w:val="21"/>
              </w:rPr>
              <w:t>016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年7月1日</w:t>
            </w:r>
          </w:p>
        </w:tc>
      </w:tr>
      <w:tr w14:paraId="6281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</w:tcPr>
          <w:p w14:paraId="2FBE5F6F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3</w:t>
            </w:r>
          </w:p>
        </w:tc>
        <w:tc>
          <w:tcPr>
            <w:tcW w:w="1474" w:type="dxa"/>
          </w:tcPr>
          <w:p w14:paraId="102BEBA6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素描基础教程</w:t>
            </w:r>
          </w:p>
        </w:tc>
        <w:tc>
          <w:tcPr>
            <w:tcW w:w="2617" w:type="dxa"/>
          </w:tcPr>
          <w:p w14:paraId="15E645D2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其它</w:t>
            </w:r>
          </w:p>
        </w:tc>
        <w:tc>
          <w:tcPr>
            <w:tcW w:w="1667" w:type="dxa"/>
          </w:tcPr>
          <w:p w14:paraId="3B9B6B6C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/>
                <w:kern w:val="0"/>
                <w:sz w:val="20"/>
                <w:szCs w:val="21"/>
              </w:rPr>
              <w:t>电子工业出版社</w:t>
            </w:r>
          </w:p>
        </w:tc>
        <w:tc>
          <w:tcPr>
            <w:tcW w:w="894" w:type="dxa"/>
          </w:tcPr>
          <w:p w14:paraId="0B3108B7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杨蓉芳</w:t>
            </w:r>
          </w:p>
        </w:tc>
        <w:tc>
          <w:tcPr>
            <w:tcW w:w="1768" w:type="dxa"/>
          </w:tcPr>
          <w:p w14:paraId="1533CED3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ascii="宋体" w:hAnsi="宋体"/>
                <w:kern w:val="0"/>
                <w:sz w:val="20"/>
                <w:szCs w:val="21"/>
              </w:rPr>
              <w:t>017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年1</w:t>
            </w:r>
            <w:r>
              <w:rPr>
                <w:rFonts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月1日</w:t>
            </w:r>
          </w:p>
        </w:tc>
      </w:tr>
      <w:tr w14:paraId="25C7B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</w:tcPr>
          <w:p w14:paraId="11DA0368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4</w:t>
            </w:r>
          </w:p>
        </w:tc>
        <w:tc>
          <w:tcPr>
            <w:tcW w:w="1474" w:type="dxa"/>
          </w:tcPr>
          <w:p w14:paraId="429AC1BA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/>
                <w:kern w:val="0"/>
                <w:sz w:val="20"/>
                <w:szCs w:val="21"/>
              </w:rPr>
              <w:t>素描基础教程</w:t>
            </w:r>
          </w:p>
        </w:tc>
        <w:tc>
          <w:tcPr>
            <w:tcW w:w="2617" w:type="dxa"/>
          </w:tcPr>
          <w:p w14:paraId="5A026F64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其它</w:t>
            </w:r>
          </w:p>
        </w:tc>
        <w:tc>
          <w:tcPr>
            <w:tcW w:w="1667" w:type="dxa"/>
          </w:tcPr>
          <w:p w14:paraId="15B2E704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中国书店</w:t>
            </w:r>
          </w:p>
        </w:tc>
        <w:tc>
          <w:tcPr>
            <w:tcW w:w="894" w:type="dxa"/>
          </w:tcPr>
          <w:p w14:paraId="1248A438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/>
                <w:kern w:val="0"/>
                <w:sz w:val="20"/>
                <w:szCs w:val="21"/>
              </w:rPr>
              <w:t>杨建飞</w:t>
            </w:r>
          </w:p>
        </w:tc>
        <w:tc>
          <w:tcPr>
            <w:tcW w:w="1768" w:type="dxa"/>
          </w:tcPr>
          <w:p w14:paraId="453486B9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2</w:t>
            </w:r>
            <w:r>
              <w:rPr>
                <w:rFonts w:ascii="宋体" w:hAnsi="宋体"/>
                <w:kern w:val="0"/>
                <w:sz w:val="20"/>
                <w:szCs w:val="21"/>
              </w:rPr>
              <w:t>016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年7月1日</w:t>
            </w:r>
          </w:p>
        </w:tc>
      </w:tr>
    </w:tbl>
    <w:p w14:paraId="4EB0E6B8">
      <w:pPr>
        <w:spacing w:line="300" w:lineRule="exact"/>
        <w:ind w:firstLine="480"/>
        <w:jc w:val="center"/>
        <w:rPr>
          <w:rFonts w:hint="eastAsia" w:ascii="宋体" w:hAnsi="宋体"/>
          <w:b/>
          <w:szCs w:val="21"/>
        </w:rPr>
      </w:pPr>
    </w:p>
    <w:p w14:paraId="50F5DD0A">
      <w:pPr>
        <w:spacing w:line="300" w:lineRule="exact"/>
        <w:ind w:firstLine="480"/>
        <w:jc w:val="center"/>
        <w:rPr>
          <w:rFonts w:hint="eastAsia" w:ascii="宋体" w:hAnsi="宋体"/>
          <w:b/>
          <w:szCs w:val="21"/>
        </w:rPr>
      </w:pPr>
    </w:p>
    <w:p w14:paraId="7DF381AB">
      <w:pPr>
        <w:spacing w:line="300" w:lineRule="exact"/>
        <w:ind w:firstLine="480"/>
        <w:jc w:val="center"/>
        <w:rPr>
          <w:rFonts w:hint="eastAsia" w:ascii="宋体" w:hAnsi="宋体"/>
          <w:b/>
          <w:szCs w:val="21"/>
        </w:rPr>
      </w:pPr>
    </w:p>
    <w:p w14:paraId="1777884A">
      <w:pPr>
        <w:spacing w:line="300" w:lineRule="exact"/>
        <w:ind w:firstLine="480"/>
        <w:jc w:val="center"/>
        <w:rPr>
          <w:rFonts w:hint="eastAsia" w:ascii="宋体" w:hAnsi="宋体"/>
          <w:b/>
          <w:szCs w:val="21"/>
        </w:rPr>
      </w:pPr>
    </w:p>
    <w:p w14:paraId="0354CE16">
      <w:pPr>
        <w:spacing w:line="300" w:lineRule="exact"/>
        <w:ind w:firstLine="480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表</w:t>
      </w:r>
      <w:r>
        <w:rPr>
          <w:rFonts w:hint="eastAsia" w:ascii="宋体" w:hAnsi="宋体"/>
          <w:b/>
          <w:szCs w:val="21"/>
          <w:lang w:val="en-US" w:eastAsia="zh-CN"/>
        </w:rPr>
        <w:t>9</w:t>
      </w:r>
      <w:r>
        <w:rPr>
          <w:rFonts w:hint="eastAsia" w:ascii="宋体" w:hAnsi="宋体"/>
          <w:b/>
          <w:szCs w:val="21"/>
        </w:rPr>
        <w:t xml:space="preserve">  素描课程数字化资源选用表</w:t>
      </w:r>
    </w:p>
    <w:p w14:paraId="4755F59C">
      <w:pPr>
        <w:spacing w:line="300" w:lineRule="exact"/>
        <w:ind w:firstLine="480"/>
        <w:jc w:val="center"/>
        <w:rPr>
          <w:rFonts w:ascii="宋体" w:hAnsi="宋体"/>
          <w:szCs w:val="21"/>
        </w:rPr>
      </w:pPr>
    </w:p>
    <w:tbl>
      <w:tblPr>
        <w:tblStyle w:val="8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5220"/>
        <w:gridCol w:w="3420"/>
      </w:tblGrid>
      <w:tr w14:paraId="352ED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0E936B22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序号</w:t>
            </w:r>
          </w:p>
        </w:tc>
        <w:tc>
          <w:tcPr>
            <w:tcW w:w="5220" w:type="dxa"/>
          </w:tcPr>
          <w:p w14:paraId="62E4B668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数字化资源名称</w:t>
            </w:r>
          </w:p>
        </w:tc>
        <w:tc>
          <w:tcPr>
            <w:tcW w:w="3420" w:type="dxa"/>
          </w:tcPr>
          <w:p w14:paraId="2A02AE1F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资源网址</w:t>
            </w:r>
          </w:p>
        </w:tc>
      </w:tr>
      <w:tr w14:paraId="2C16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2C96A4F7">
            <w:pPr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1</w:t>
            </w:r>
          </w:p>
        </w:tc>
        <w:tc>
          <w:tcPr>
            <w:tcW w:w="5220" w:type="dxa"/>
          </w:tcPr>
          <w:p w14:paraId="245B19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Cs w:val="21"/>
              </w:rPr>
              <w:t>超星尔雅学习平台</w:t>
            </w:r>
          </w:p>
        </w:tc>
        <w:tc>
          <w:tcPr>
            <w:tcW w:w="3420" w:type="dxa"/>
          </w:tcPr>
          <w:p w14:paraId="69D522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Cs w:val="21"/>
              </w:rPr>
              <w:t>http://www.chaoxing.com</w:t>
            </w:r>
            <w:r>
              <w:rPr>
                <w:rFonts w:ascii="宋体"/>
                <w:szCs w:val="21"/>
              </w:rPr>
              <w:t>/</w:t>
            </w:r>
          </w:p>
        </w:tc>
      </w:tr>
      <w:tr w14:paraId="6A5F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0E34AE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220" w:type="dxa"/>
          </w:tcPr>
          <w:p w14:paraId="6CBFE15B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中国高职高专教育网</w:t>
            </w:r>
          </w:p>
        </w:tc>
        <w:tc>
          <w:tcPr>
            <w:tcW w:w="3420" w:type="dxa"/>
          </w:tcPr>
          <w:p w14:paraId="3D83419F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http://www.tech.net.cn</w:t>
            </w:r>
            <w:r>
              <w:rPr>
                <w:rFonts w:ascii="宋体"/>
                <w:szCs w:val="21"/>
              </w:rPr>
              <w:t>/</w:t>
            </w:r>
          </w:p>
        </w:tc>
      </w:tr>
      <w:tr w14:paraId="04F45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470742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220" w:type="dxa"/>
            <w:vAlign w:val="top"/>
          </w:tcPr>
          <w:p w14:paraId="1167E811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中国教育信息化网</w:t>
            </w:r>
          </w:p>
        </w:tc>
        <w:tc>
          <w:tcPr>
            <w:tcW w:w="3420" w:type="dxa"/>
            <w:vAlign w:val="top"/>
          </w:tcPr>
          <w:p w14:paraId="16E60799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http://www.ict.edu.cn</w:t>
            </w:r>
            <w:r>
              <w:rPr>
                <w:rFonts w:ascii="宋体"/>
                <w:szCs w:val="21"/>
              </w:rPr>
              <w:t>/</w:t>
            </w:r>
          </w:p>
        </w:tc>
      </w:tr>
      <w:tr w14:paraId="1ECA3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240D6E07">
            <w:pPr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5220" w:type="dxa"/>
            <w:vAlign w:val="top"/>
          </w:tcPr>
          <w:p w14:paraId="60C23465">
            <w:pPr>
              <w:jc w:val="center"/>
              <w:rPr>
                <w:rFonts w:hint="default" w:asci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e学在线平台</w:t>
            </w:r>
          </w:p>
        </w:tc>
        <w:tc>
          <w:tcPr>
            <w:tcW w:w="3420" w:type="dxa"/>
            <w:vAlign w:val="top"/>
          </w:tcPr>
          <w:p w14:paraId="0EC1AEBF">
            <w:pPr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https://www.ehuixue.cn/index/detail/index?cid=40956</w:t>
            </w:r>
          </w:p>
        </w:tc>
      </w:tr>
    </w:tbl>
    <w:p w14:paraId="2DDC31FE">
      <w:pPr>
        <w:snapToGrid w:val="0"/>
        <w:spacing w:before="156" w:beforeLines="50" w:after="156" w:afterLines="50" w:line="400" w:lineRule="exact"/>
        <w:rPr>
          <w:rFonts w:hint="eastAsia" w:ascii="黑体" w:eastAsia="黑体"/>
          <w:sz w:val="28"/>
          <w:szCs w:val="28"/>
        </w:rPr>
      </w:pPr>
    </w:p>
    <w:p w14:paraId="1A51E486">
      <w:pPr>
        <w:rPr>
          <w:rFonts w:ascii="宋体" w:hAnsi="宋体"/>
          <w:b/>
          <w:sz w:val="24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50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50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C1B3F">
    <w:pPr>
      <w:pStyle w:val="5"/>
      <w:jc w:val="center"/>
    </w:pPr>
  </w:p>
  <w:p w14:paraId="4FF84C1B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54AAD"/>
    <w:multiLevelType w:val="singleLevel"/>
    <w:tmpl w:val="0F954AA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8F0396D"/>
    <w:multiLevelType w:val="singleLevel"/>
    <w:tmpl w:val="18F0396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Y4MjZhMjBhNjk0NjFlYzRkNmQ2OTE2ZGMwOWNhN2EifQ=="/>
  </w:docVars>
  <w:rsids>
    <w:rsidRoot w:val="004C2908"/>
    <w:rsid w:val="00002572"/>
    <w:rsid w:val="00006B25"/>
    <w:rsid w:val="000205A4"/>
    <w:rsid w:val="00031E64"/>
    <w:rsid w:val="00040184"/>
    <w:rsid w:val="000668A9"/>
    <w:rsid w:val="001120FA"/>
    <w:rsid w:val="001171C0"/>
    <w:rsid w:val="001356BC"/>
    <w:rsid w:val="00137C2A"/>
    <w:rsid w:val="001C21A6"/>
    <w:rsid w:val="001E5B52"/>
    <w:rsid w:val="002669E4"/>
    <w:rsid w:val="002A22F7"/>
    <w:rsid w:val="002E3EFE"/>
    <w:rsid w:val="00311D09"/>
    <w:rsid w:val="00314D07"/>
    <w:rsid w:val="0032135B"/>
    <w:rsid w:val="003403B0"/>
    <w:rsid w:val="003559C4"/>
    <w:rsid w:val="003B6EC0"/>
    <w:rsid w:val="003D44ED"/>
    <w:rsid w:val="00405638"/>
    <w:rsid w:val="00422A10"/>
    <w:rsid w:val="004575B6"/>
    <w:rsid w:val="00474156"/>
    <w:rsid w:val="004A16A4"/>
    <w:rsid w:val="004B5A66"/>
    <w:rsid w:val="004B6C54"/>
    <w:rsid w:val="004C2908"/>
    <w:rsid w:val="00506FC3"/>
    <w:rsid w:val="0057543B"/>
    <w:rsid w:val="005B3CA1"/>
    <w:rsid w:val="0063344B"/>
    <w:rsid w:val="006D62BA"/>
    <w:rsid w:val="006E383C"/>
    <w:rsid w:val="00726343"/>
    <w:rsid w:val="00755BA2"/>
    <w:rsid w:val="007B001B"/>
    <w:rsid w:val="007C3EAB"/>
    <w:rsid w:val="007C5053"/>
    <w:rsid w:val="007C7E5C"/>
    <w:rsid w:val="007F07F5"/>
    <w:rsid w:val="007F3264"/>
    <w:rsid w:val="008129A2"/>
    <w:rsid w:val="00823A23"/>
    <w:rsid w:val="00833FC2"/>
    <w:rsid w:val="00834A1B"/>
    <w:rsid w:val="008359CC"/>
    <w:rsid w:val="008510FB"/>
    <w:rsid w:val="00856F87"/>
    <w:rsid w:val="008A468C"/>
    <w:rsid w:val="008B485E"/>
    <w:rsid w:val="008D537C"/>
    <w:rsid w:val="008F188D"/>
    <w:rsid w:val="008F6D6B"/>
    <w:rsid w:val="00945F77"/>
    <w:rsid w:val="00A93150"/>
    <w:rsid w:val="00A935DA"/>
    <w:rsid w:val="00AA4410"/>
    <w:rsid w:val="00B553E2"/>
    <w:rsid w:val="00B64809"/>
    <w:rsid w:val="00BA7829"/>
    <w:rsid w:val="00BC43F5"/>
    <w:rsid w:val="00BC6232"/>
    <w:rsid w:val="00BC6957"/>
    <w:rsid w:val="00C90433"/>
    <w:rsid w:val="00CA413A"/>
    <w:rsid w:val="00DB487A"/>
    <w:rsid w:val="00DB5053"/>
    <w:rsid w:val="00E448C8"/>
    <w:rsid w:val="00E53F79"/>
    <w:rsid w:val="00E55FA4"/>
    <w:rsid w:val="00E705C7"/>
    <w:rsid w:val="00E9183D"/>
    <w:rsid w:val="00EA0E41"/>
    <w:rsid w:val="00EB2E70"/>
    <w:rsid w:val="00EE4128"/>
    <w:rsid w:val="00EF11B8"/>
    <w:rsid w:val="00F100EA"/>
    <w:rsid w:val="00F124A6"/>
    <w:rsid w:val="00F5578D"/>
    <w:rsid w:val="00F56411"/>
    <w:rsid w:val="00F7168A"/>
    <w:rsid w:val="00F976E0"/>
    <w:rsid w:val="00FF3CF9"/>
    <w:rsid w:val="01AA3B75"/>
    <w:rsid w:val="01D75E82"/>
    <w:rsid w:val="05672298"/>
    <w:rsid w:val="0FF977C2"/>
    <w:rsid w:val="1AD80FFE"/>
    <w:rsid w:val="207F1AC7"/>
    <w:rsid w:val="230151B8"/>
    <w:rsid w:val="329A70CF"/>
    <w:rsid w:val="38DF3655"/>
    <w:rsid w:val="3B8626BF"/>
    <w:rsid w:val="3C9A3D34"/>
    <w:rsid w:val="3CF00485"/>
    <w:rsid w:val="44375B17"/>
    <w:rsid w:val="44627A06"/>
    <w:rsid w:val="4BE704CC"/>
    <w:rsid w:val="57A3549E"/>
    <w:rsid w:val="5946158C"/>
    <w:rsid w:val="5B1B6C53"/>
    <w:rsid w:val="5C8575CD"/>
    <w:rsid w:val="60395667"/>
    <w:rsid w:val="64BD39A7"/>
    <w:rsid w:val="6D572E2F"/>
    <w:rsid w:val="7E95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line="360" w:lineRule="auto"/>
      <w:ind w:left="-105" w:leftChars="-50" w:firstLine="523" w:firstLineChars="218"/>
    </w:pPr>
    <w:rPr>
      <w:sz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2014</Words>
  <Characters>2061</Characters>
  <Lines>29</Lines>
  <Paragraphs>8</Paragraphs>
  <TotalTime>18</TotalTime>
  <ScaleCrop>false</ScaleCrop>
  <LinksUpToDate>false</LinksUpToDate>
  <CharactersWithSpaces>2223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2018-05-01T12:29:00Z</dcterms:created>
  <dc:creator>apple-hh</dc:creator>
  <cp:lastModifiedBy>Administrator</cp:lastModifiedBy>
  <dcterms:modified xsi:type="dcterms:W3CDTF">2025-01-15T07:49:46Z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C9F0E0E3A9724D918006AE954080C7A2_12</vt:lpwstr>
  </property>
  <property fmtid="{D5CDD505-2E9C-101B-9397-08002B2CF9AE}" pid="4" name="KSOTemplateDocerSaveRecord">
    <vt:lpwstr>eyJoZGlkIjoiMGY4MjZhMjBhNjk0NjFlYzRkNmQ2OTE2ZGMwOWNhN2EifQ==</vt:lpwstr>
  </property>
</Properties>
</file>